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409" w:rsidRDefault="003C1409" w:rsidP="003C1409">
      <w:pPr>
        <w:spacing w:after="0"/>
        <w:jc w:val="right"/>
        <w:rPr>
          <w:b/>
          <w:bCs/>
          <w:sz w:val="28"/>
        </w:rPr>
      </w:pPr>
      <w:bookmarkStart w:id="0" w:name="_GoBack"/>
      <w:bookmarkEnd w:id="0"/>
      <w:r>
        <w:rPr>
          <w:b/>
          <w:bCs/>
          <w:sz w:val="28"/>
        </w:rPr>
        <w:t>OMB Control Number: XXXX-XXXX</w:t>
      </w:r>
    </w:p>
    <w:p w:rsidR="003C1409" w:rsidRPr="00F12A87" w:rsidRDefault="003C1409" w:rsidP="00F12A87">
      <w:pPr>
        <w:spacing w:after="1200" w:line="240" w:lineRule="auto"/>
        <w:jc w:val="right"/>
        <w:rPr>
          <w:b/>
          <w:bCs/>
          <w:sz w:val="28"/>
        </w:rPr>
      </w:pPr>
      <w:r>
        <w:rPr>
          <w:b/>
          <w:bCs/>
          <w:sz w:val="28"/>
        </w:rPr>
        <w:t>Expiration Date: XX/XX/XXXX</w:t>
      </w:r>
    </w:p>
    <w:p w:rsidR="003C1409" w:rsidRDefault="003C1409" w:rsidP="003C1409">
      <w:pPr>
        <w:spacing w:after="0" w:line="240" w:lineRule="auto"/>
        <w:jc w:val="center"/>
        <w:rPr>
          <w:b/>
          <w:bCs/>
          <w:sz w:val="32"/>
        </w:rPr>
      </w:pPr>
    </w:p>
    <w:p w:rsidR="003C1409" w:rsidRDefault="003C1409" w:rsidP="003C1409">
      <w:pPr>
        <w:spacing w:after="0" w:line="240" w:lineRule="auto"/>
        <w:jc w:val="center"/>
        <w:rPr>
          <w:b/>
          <w:bCs/>
          <w:sz w:val="32"/>
        </w:rPr>
      </w:pPr>
    </w:p>
    <w:p w:rsidR="003C1409" w:rsidRPr="00600161" w:rsidRDefault="003C1409" w:rsidP="003C1409">
      <w:pPr>
        <w:spacing w:after="0" w:line="240" w:lineRule="auto"/>
        <w:jc w:val="center"/>
        <w:rPr>
          <w:b/>
          <w:bCs/>
          <w:sz w:val="32"/>
        </w:rPr>
      </w:pPr>
      <w:r w:rsidRPr="00600161">
        <w:rPr>
          <w:b/>
          <w:bCs/>
          <w:sz w:val="32"/>
        </w:rPr>
        <w:t>UNITED STATES DEPARTMENT OF HEALTH AND HUMAN SERVICES</w:t>
      </w:r>
    </w:p>
    <w:p w:rsidR="003C1409" w:rsidRPr="00600161" w:rsidRDefault="003C1409" w:rsidP="003C1409">
      <w:pPr>
        <w:spacing w:after="0" w:line="240" w:lineRule="auto"/>
        <w:jc w:val="center"/>
        <w:rPr>
          <w:b/>
          <w:bCs/>
          <w:sz w:val="32"/>
        </w:rPr>
      </w:pPr>
      <w:r w:rsidRPr="00600161">
        <w:rPr>
          <w:b/>
          <w:bCs/>
          <w:sz w:val="32"/>
        </w:rPr>
        <w:t>ADMINISTRATION FOR COMMUNITY LIVING (ACL)</w:t>
      </w:r>
    </w:p>
    <w:p w:rsidR="003C1409" w:rsidRPr="00600161" w:rsidRDefault="003C1409" w:rsidP="003C1409">
      <w:pPr>
        <w:spacing w:after="0" w:line="240" w:lineRule="auto"/>
        <w:jc w:val="center"/>
        <w:rPr>
          <w:b/>
          <w:bCs/>
          <w:sz w:val="32"/>
        </w:rPr>
      </w:pPr>
      <w:r w:rsidRPr="00600161">
        <w:rPr>
          <w:b/>
          <w:bCs/>
          <w:sz w:val="32"/>
        </w:rPr>
        <w:t>ADMINISTRATION ON AGING (AOA)</w:t>
      </w:r>
    </w:p>
    <w:p w:rsidR="003C1409" w:rsidRDefault="003C1409" w:rsidP="003C1409">
      <w:pPr>
        <w:spacing w:after="0" w:line="240" w:lineRule="auto"/>
        <w:rPr>
          <w:b/>
          <w:bCs/>
          <w:sz w:val="28"/>
        </w:rPr>
      </w:pPr>
    </w:p>
    <w:p w:rsidR="003C1409" w:rsidRDefault="003C1409" w:rsidP="003C1409">
      <w:pPr>
        <w:spacing w:after="0" w:line="240" w:lineRule="auto"/>
        <w:jc w:val="center"/>
        <w:rPr>
          <w:rFonts w:ascii="Georgia" w:hAnsi="Georgia" w:cs="Times New Roman"/>
          <w:b/>
          <w:bCs/>
          <w:sz w:val="48"/>
          <w:szCs w:val="48"/>
        </w:rPr>
      </w:pPr>
      <w:r w:rsidRPr="00600161">
        <w:rPr>
          <w:rFonts w:ascii="Georgia" w:hAnsi="Georgia" w:cs="Times New Roman"/>
          <w:b/>
          <w:bCs/>
          <w:sz w:val="48"/>
          <w:szCs w:val="48"/>
        </w:rPr>
        <w:t xml:space="preserve">STATE </w:t>
      </w:r>
      <w:r w:rsidR="00540AEC">
        <w:rPr>
          <w:rFonts w:ascii="Georgia" w:hAnsi="Georgia" w:cs="Times New Roman"/>
          <w:b/>
          <w:bCs/>
          <w:sz w:val="48"/>
          <w:szCs w:val="48"/>
        </w:rPr>
        <w:t xml:space="preserve">PROGRAM </w:t>
      </w:r>
      <w:r>
        <w:rPr>
          <w:rFonts w:ascii="Georgia" w:hAnsi="Georgia" w:cs="Times New Roman"/>
          <w:b/>
          <w:bCs/>
          <w:sz w:val="48"/>
          <w:szCs w:val="48"/>
        </w:rPr>
        <w:t>PERFORMANCE</w:t>
      </w:r>
      <w:r w:rsidRPr="00600161">
        <w:rPr>
          <w:rFonts w:ascii="Georgia" w:hAnsi="Georgia" w:cs="Times New Roman"/>
          <w:b/>
          <w:bCs/>
          <w:sz w:val="48"/>
          <w:szCs w:val="48"/>
        </w:rPr>
        <w:t xml:space="preserve"> REPORT</w:t>
      </w:r>
    </w:p>
    <w:p w:rsidR="003C1409" w:rsidRDefault="003C1409" w:rsidP="003C1409">
      <w:pPr>
        <w:spacing w:after="0" w:line="240" w:lineRule="auto"/>
        <w:jc w:val="center"/>
        <w:rPr>
          <w:rFonts w:ascii="Georgia" w:hAnsi="Georgia" w:cs="Times New Roman"/>
          <w:b/>
          <w:bCs/>
          <w:sz w:val="36"/>
          <w:szCs w:val="48"/>
        </w:rPr>
      </w:pPr>
      <w:r w:rsidRPr="00600161">
        <w:rPr>
          <w:rFonts w:ascii="Georgia" w:hAnsi="Georgia" w:cs="Times New Roman"/>
          <w:b/>
          <w:bCs/>
          <w:sz w:val="36"/>
          <w:szCs w:val="48"/>
        </w:rPr>
        <w:t>For</w:t>
      </w:r>
    </w:p>
    <w:p w:rsidR="003C1409" w:rsidRPr="00600161" w:rsidRDefault="003C1409" w:rsidP="003C1409">
      <w:pPr>
        <w:spacing w:after="0" w:line="240" w:lineRule="auto"/>
        <w:jc w:val="center"/>
        <w:rPr>
          <w:rFonts w:ascii="Georgia" w:hAnsi="Georgia" w:cs="Times New Roman"/>
          <w:b/>
          <w:bCs/>
          <w:sz w:val="48"/>
          <w:szCs w:val="44"/>
        </w:rPr>
      </w:pPr>
      <w:r w:rsidRPr="00600161">
        <w:rPr>
          <w:rFonts w:ascii="Georgia" w:hAnsi="Georgia" w:cs="Times New Roman"/>
          <w:b/>
          <w:bCs/>
          <w:sz w:val="48"/>
          <w:szCs w:val="44"/>
        </w:rPr>
        <w:t>STATE UNITS ON AGING</w:t>
      </w:r>
    </w:p>
    <w:p w:rsidR="003C1409" w:rsidRDefault="003C1409" w:rsidP="003C1409">
      <w:pPr>
        <w:spacing w:after="0" w:line="240" w:lineRule="auto"/>
        <w:jc w:val="center"/>
        <w:rPr>
          <w:rFonts w:ascii="Georgia" w:hAnsi="Georgia" w:cs="Times New Roman"/>
          <w:b/>
          <w:bCs/>
          <w:sz w:val="32"/>
          <w:szCs w:val="48"/>
        </w:rPr>
      </w:pPr>
      <w:r>
        <w:rPr>
          <w:rFonts w:ascii="Georgia" w:hAnsi="Georgia" w:cs="Times New Roman"/>
          <w:b/>
          <w:bCs/>
          <w:sz w:val="32"/>
          <w:szCs w:val="48"/>
        </w:rPr>
        <w:t>(</w:t>
      </w:r>
      <w:r w:rsidRPr="00600161">
        <w:rPr>
          <w:rFonts w:ascii="Georgia" w:hAnsi="Georgia" w:cs="Times New Roman"/>
          <w:b/>
          <w:bCs/>
          <w:sz w:val="32"/>
          <w:szCs w:val="48"/>
        </w:rPr>
        <w:t>Older Americans Act Title III and VII, Chapter 3 and 4</w:t>
      </w:r>
      <w:r>
        <w:rPr>
          <w:rFonts w:ascii="Georgia" w:hAnsi="Georgia" w:cs="Times New Roman"/>
          <w:b/>
          <w:bCs/>
          <w:sz w:val="32"/>
          <w:szCs w:val="48"/>
        </w:rPr>
        <w:t>)</w:t>
      </w:r>
    </w:p>
    <w:p w:rsidR="003C1409" w:rsidRDefault="003C1409" w:rsidP="003C1409">
      <w:pPr>
        <w:spacing w:after="0" w:line="240" w:lineRule="auto"/>
        <w:jc w:val="center"/>
        <w:rPr>
          <w:rFonts w:ascii="Georgia" w:hAnsi="Georgia" w:cs="Times New Roman"/>
          <w:b/>
          <w:bCs/>
          <w:sz w:val="32"/>
          <w:szCs w:val="48"/>
        </w:rPr>
      </w:pPr>
    </w:p>
    <w:p w:rsidR="003C1409" w:rsidRPr="003C1409" w:rsidRDefault="003C1409" w:rsidP="003C1409">
      <w:pPr>
        <w:spacing w:after="0" w:line="240" w:lineRule="auto"/>
        <w:jc w:val="center"/>
        <w:rPr>
          <w:rFonts w:ascii="Georgia" w:hAnsi="Georgia" w:cs="Times New Roman"/>
          <w:b/>
          <w:bCs/>
          <w:sz w:val="48"/>
          <w:szCs w:val="48"/>
        </w:rPr>
      </w:pPr>
      <w:r w:rsidRPr="003C1409">
        <w:rPr>
          <w:rFonts w:ascii="Georgia" w:hAnsi="Georgia" w:cs="Times New Roman"/>
          <w:b/>
          <w:bCs/>
          <w:sz w:val="48"/>
          <w:szCs w:val="48"/>
        </w:rPr>
        <w:t>Attachment A: Definitions</w:t>
      </w:r>
    </w:p>
    <w:p w:rsidR="003C1409" w:rsidRDefault="003C1409" w:rsidP="003C1409">
      <w:pPr>
        <w:spacing w:after="0" w:line="240" w:lineRule="auto"/>
        <w:rPr>
          <w:b/>
          <w:bCs/>
          <w:sz w:val="28"/>
        </w:rPr>
      </w:pPr>
    </w:p>
    <w:p w:rsidR="003C1409" w:rsidRDefault="003C1409">
      <w:r>
        <w:br w:type="page"/>
      </w:r>
    </w:p>
    <w:p w:rsidR="003D6BCC" w:rsidRDefault="003D6BCC">
      <w:pPr>
        <w:rPr>
          <w:i/>
        </w:rPr>
        <w:sectPr w:rsidR="003D6BCC" w:rsidSect="007E799D">
          <w:pgSz w:w="12240" w:h="15840"/>
          <w:pgMar w:top="1440" w:right="1080" w:bottom="1440" w:left="1080" w:header="720" w:footer="720" w:gutter="0"/>
          <w:cols w:space="720"/>
          <w:docGrid w:linePitch="360"/>
        </w:sectPr>
      </w:pPr>
    </w:p>
    <w:p w:rsidR="003C1409" w:rsidRPr="003C1409" w:rsidRDefault="003C1409">
      <w:pPr>
        <w:rPr>
          <w:i/>
        </w:rPr>
      </w:pPr>
      <w:r w:rsidRPr="003C1409">
        <w:rPr>
          <w:i/>
        </w:rPr>
        <w:lastRenderedPageBreak/>
        <w:t>The SPR Definitions serve as a reference to the Data Element Specifications. It provides definitions of data elements, code values, services, and related terms.</w:t>
      </w:r>
    </w:p>
    <w:p w:rsidR="00F817A4" w:rsidRPr="003C1409" w:rsidRDefault="003C1409" w:rsidP="003D6BCC">
      <w:pPr>
        <w:spacing w:after="0"/>
        <w:rPr>
          <w:b/>
        </w:rPr>
      </w:pPr>
      <w:proofErr w:type="gramStart"/>
      <w:r w:rsidRPr="003C1409">
        <w:rPr>
          <w:b/>
        </w:rPr>
        <w:t>Table 1.</w:t>
      </w:r>
      <w:proofErr w:type="gramEnd"/>
      <w:r w:rsidRPr="003C1409">
        <w:rPr>
          <w:b/>
        </w:rPr>
        <w:t xml:space="preserve"> </w:t>
      </w:r>
      <w:r w:rsidR="00F817A4" w:rsidRPr="003C1409">
        <w:rPr>
          <w:b/>
        </w:rPr>
        <w:t>Demographics and Consumer Characteristics:</w:t>
      </w:r>
    </w:p>
    <w:tbl>
      <w:tblPr>
        <w:tblW w:w="101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90"/>
        <w:gridCol w:w="3060"/>
        <w:gridCol w:w="5238"/>
      </w:tblGrid>
      <w:tr w:rsidR="008A71E1" w:rsidRPr="00F817A4" w:rsidTr="003D6BCC">
        <w:trPr>
          <w:trHeight w:hRule="exact" w:val="288"/>
          <w:tblHeader/>
        </w:trPr>
        <w:tc>
          <w:tcPr>
            <w:tcW w:w="1890" w:type="dxa"/>
            <w:shd w:val="clear" w:color="auto" w:fill="auto"/>
            <w:noWrap/>
            <w:hideMark/>
          </w:tcPr>
          <w:p w:rsidR="008A71E1" w:rsidRPr="008A71E1" w:rsidRDefault="008A71E1" w:rsidP="007E799D">
            <w:pPr>
              <w:spacing w:after="0" w:line="240" w:lineRule="auto"/>
              <w:rPr>
                <w:rFonts w:ascii="Calibri" w:eastAsia="Times New Roman" w:hAnsi="Calibri" w:cs="Times New Roman"/>
                <w:color w:val="000000"/>
                <w:sz w:val="20"/>
                <w:szCs w:val="20"/>
              </w:rPr>
            </w:pPr>
            <w:r w:rsidRPr="00F817A4">
              <w:rPr>
                <w:rFonts w:ascii="Calibri" w:eastAsia="Times New Roman" w:hAnsi="Calibri" w:cs="Times New Roman"/>
                <w:color w:val="000000"/>
                <w:sz w:val="20"/>
                <w:szCs w:val="20"/>
              </w:rPr>
              <w:t xml:space="preserve">Data </w:t>
            </w:r>
            <w:r w:rsidRPr="008A71E1">
              <w:rPr>
                <w:rFonts w:ascii="Calibri" w:eastAsia="Times New Roman" w:hAnsi="Calibri" w:cs="Times New Roman"/>
                <w:color w:val="000000"/>
                <w:sz w:val="20"/>
                <w:szCs w:val="20"/>
              </w:rPr>
              <w:t>Element</w:t>
            </w:r>
          </w:p>
        </w:tc>
        <w:tc>
          <w:tcPr>
            <w:tcW w:w="3060" w:type="dxa"/>
            <w:shd w:val="clear" w:color="auto" w:fill="auto"/>
            <w:noWrap/>
            <w:hideMark/>
          </w:tcPr>
          <w:p w:rsidR="008A71E1" w:rsidRPr="008A71E1" w:rsidRDefault="008A71E1" w:rsidP="007E799D">
            <w:pPr>
              <w:spacing w:after="0" w:line="240" w:lineRule="auto"/>
              <w:rPr>
                <w:rFonts w:ascii="Calibri" w:eastAsia="Times New Roman" w:hAnsi="Calibri" w:cs="Times New Roman"/>
                <w:color w:val="000000"/>
                <w:sz w:val="20"/>
                <w:szCs w:val="20"/>
              </w:rPr>
            </w:pPr>
            <w:r w:rsidRPr="008A71E1">
              <w:rPr>
                <w:rFonts w:ascii="Calibri" w:eastAsia="Times New Roman" w:hAnsi="Calibri" w:cs="Times New Roman"/>
                <w:color w:val="000000"/>
                <w:sz w:val="20"/>
                <w:szCs w:val="20"/>
              </w:rPr>
              <w:t>Value</w:t>
            </w:r>
          </w:p>
        </w:tc>
        <w:tc>
          <w:tcPr>
            <w:tcW w:w="5238" w:type="dxa"/>
            <w:shd w:val="clear" w:color="auto" w:fill="auto"/>
            <w:noWrap/>
            <w:hideMark/>
          </w:tcPr>
          <w:p w:rsidR="008A71E1" w:rsidRPr="008A71E1" w:rsidRDefault="008A71E1" w:rsidP="007E799D">
            <w:pPr>
              <w:spacing w:after="0" w:line="240" w:lineRule="auto"/>
              <w:rPr>
                <w:rFonts w:ascii="Calibri" w:eastAsia="Times New Roman" w:hAnsi="Calibri" w:cs="Times New Roman"/>
                <w:color w:val="000000"/>
                <w:sz w:val="20"/>
                <w:szCs w:val="20"/>
              </w:rPr>
            </w:pPr>
            <w:r w:rsidRPr="008A71E1">
              <w:rPr>
                <w:rFonts w:ascii="Calibri" w:eastAsia="Times New Roman" w:hAnsi="Calibri" w:cs="Times New Roman"/>
                <w:color w:val="000000"/>
                <w:sz w:val="20"/>
                <w:szCs w:val="20"/>
              </w:rPr>
              <w:t>Definition</w:t>
            </w:r>
          </w:p>
        </w:tc>
      </w:tr>
      <w:tr w:rsidR="008A71E1" w:rsidRPr="00F817A4" w:rsidTr="003D6BCC">
        <w:trPr>
          <w:trHeight w:hRule="exact" w:val="504"/>
          <w:tblHeader/>
        </w:trPr>
        <w:tc>
          <w:tcPr>
            <w:tcW w:w="1890" w:type="dxa"/>
            <w:shd w:val="clear" w:color="auto" w:fill="auto"/>
            <w:noWrap/>
            <w:hideMark/>
          </w:tcPr>
          <w:p w:rsidR="008A71E1" w:rsidRPr="00F817A4" w:rsidRDefault="008A71E1" w:rsidP="007E799D">
            <w:pPr>
              <w:rPr>
                <w:rFonts w:ascii="Calibri" w:hAnsi="Calibri"/>
                <w:color w:val="000000"/>
                <w:sz w:val="20"/>
                <w:szCs w:val="20"/>
              </w:rPr>
            </w:pPr>
            <w:r w:rsidRPr="00F817A4">
              <w:rPr>
                <w:rFonts w:ascii="Calibri" w:hAnsi="Calibri"/>
                <w:color w:val="000000"/>
                <w:sz w:val="20"/>
                <w:szCs w:val="20"/>
              </w:rPr>
              <w:t>Age</w:t>
            </w:r>
          </w:p>
        </w:tc>
        <w:tc>
          <w:tcPr>
            <w:tcW w:w="3060" w:type="dxa"/>
            <w:shd w:val="clear" w:color="auto" w:fill="auto"/>
            <w:noWrap/>
            <w:hideMark/>
          </w:tcPr>
          <w:p w:rsidR="008A71E1" w:rsidRPr="008A71E1" w:rsidRDefault="008A71E1" w:rsidP="007E799D">
            <w:pPr>
              <w:spacing w:after="0" w:line="240" w:lineRule="auto"/>
              <w:rPr>
                <w:rFonts w:ascii="Calibri" w:eastAsia="Times New Roman" w:hAnsi="Calibri" w:cs="Times New Roman"/>
                <w:color w:val="000000"/>
                <w:sz w:val="20"/>
                <w:szCs w:val="20"/>
              </w:rPr>
            </w:pPr>
          </w:p>
        </w:tc>
        <w:tc>
          <w:tcPr>
            <w:tcW w:w="5238" w:type="dxa"/>
            <w:shd w:val="clear" w:color="auto" w:fill="auto"/>
            <w:noWrap/>
            <w:hideMark/>
          </w:tcPr>
          <w:p w:rsidR="008A71E1" w:rsidRPr="008A71E1" w:rsidRDefault="00B22AC5" w:rsidP="00B22AC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 person’s age as of the last day of the federal fiscal year reported</w:t>
            </w:r>
          </w:p>
        </w:tc>
      </w:tr>
      <w:tr w:rsidR="007E799D" w:rsidRPr="00F817A4" w:rsidTr="003D6BCC">
        <w:trPr>
          <w:trHeight w:hRule="exact" w:val="504"/>
          <w:tblHeader/>
        </w:trPr>
        <w:tc>
          <w:tcPr>
            <w:tcW w:w="1890" w:type="dxa"/>
            <w:shd w:val="clear" w:color="auto" w:fill="auto"/>
            <w:noWrap/>
          </w:tcPr>
          <w:p w:rsidR="007E799D" w:rsidRPr="00F817A4" w:rsidRDefault="007E799D" w:rsidP="007E799D">
            <w:pPr>
              <w:rPr>
                <w:rFonts w:ascii="Calibri" w:hAnsi="Calibri"/>
                <w:color w:val="000000"/>
                <w:sz w:val="20"/>
                <w:szCs w:val="20"/>
              </w:rPr>
            </w:pPr>
          </w:p>
        </w:tc>
        <w:tc>
          <w:tcPr>
            <w:tcW w:w="3060" w:type="dxa"/>
            <w:shd w:val="clear" w:color="auto" w:fill="auto"/>
            <w:noWrap/>
          </w:tcPr>
          <w:p w:rsidR="007E799D" w:rsidRDefault="007E799D">
            <w:pPr>
              <w:rPr>
                <w:rFonts w:ascii="Calibri" w:hAnsi="Calibri"/>
                <w:sz w:val="20"/>
                <w:szCs w:val="20"/>
              </w:rPr>
            </w:pPr>
            <w:r>
              <w:rPr>
                <w:rFonts w:ascii="Calibri" w:hAnsi="Calibri"/>
                <w:sz w:val="20"/>
                <w:szCs w:val="20"/>
              </w:rPr>
              <w:t>Age: 18-49</w:t>
            </w:r>
          </w:p>
        </w:tc>
        <w:tc>
          <w:tcPr>
            <w:tcW w:w="5238" w:type="dxa"/>
            <w:shd w:val="clear" w:color="auto" w:fill="auto"/>
            <w:noWrap/>
          </w:tcPr>
          <w:p w:rsidR="007E799D" w:rsidRPr="008A71E1" w:rsidRDefault="00B22AC5" w:rsidP="00B22AC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 person’s age is between 18 and 49 years of age as of the last day of the federal fiscal year reported</w:t>
            </w:r>
          </w:p>
        </w:tc>
      </w:tr>
      <w:tr w:rsidR="007E799D" w:rsidRPr="00F817A4" w:rsidTr="003D6BCC">
        <w:trPr>
          <w:trHeight w:hRule="exact" w:val="504"/>
          <w:tblHeader/>
        </w:trPr>
        <w:tc>
          <w:tcPr>
            <w:tcW w:w="1890" w:type="dxa"/>
            <w:shd w:val="clear" w:color="auto" w:fill="auto"/>
            <w:noWrap/>
          </w:tcPr>
          <w:p w:rsidR="007E799D" w:rsidRPr="00F817A4" w:rsidRDefault="007E799D" w:rsidP="007E799D">
            <w:pPr>
              <w:rPr>
                <w:rFonts w:ascii="Calibri" w:hAnsi="Calibri"/>
                <w:color w:val="000000"/>
                <w:sz w:val="20"/>
                <w:szCs w:val="20"/>
              </w:rPr>
            </w:pPr>
          </w:p>
        </w:tc>
        <w:tc>
          <w:tcPr>
            <w:tcW w:w="3060" w:type="dxa"/>
            <w:shd w:val="clear" w:color="auto" w:fill="auto"/>
            <w:noWrap/>
            <w:vAlign w:val="bottom"/>
          </w:tcPr>
          <w:p w:rsidR="007E799D" w:rsidRDefault="007E799D">
            <w:pPr>
              <w:rPr>
                <w:rFonts w:ascii="Calibri" w:hAnsi="Calibri"/>
                <w:color w:val="000000"/>
                <w:sz w:val="20"/>
                <w:szCs w:val="20"/>
              </w:rPr>
            </w:pPr>
            <w:r>
              <w:rPr>
                <w:rFonts w:ascii="Calibri" w:hAnsi="Calibri"/>
                <w:color w:val="000000"/>
                <w:sz w:val="20"/>
                <w:szCs w:val="20"/>
              </w:rPr>
              <w:t>Age: 50-59</w:t>
            </w:r>
          </w:p>
        </w:tc>
        <w:tc>
          <w:tcPr>
            <w:tcW w:w="5238" w:type="dxa"/>
            <w:shd w:val="clear" w:color="auto" w:fill="auto"/>
            <w:noWrap/>
          </w:tcPr>
          <w:p w:rsidR="007E799D" w:rsidRPr="008A71E1" w:rsidRDefault="00B22AC5" w:rsidP="0089435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A person’s age is between </w:t>
            </w:r>
            <w:r w:rsidR="00894354">
              <w:rPr>
                <w:rFonts w:ascii="Calibri" w:eastAsia="Times New Roman" w:hAnsi="Calibri" w:cs="Times New Roman"/>
                <w:color w:val="000000"/>
                <w:sz w:val="20"/>
                <w:szCs w:val="20"/>
              </w:rPr>
              <w:t>50</w:t>
            </w:r>
            <w:r>
              <w:rPr>
                <w:rFonts w:ascii="Calibri" w:eastAsia="Times New Roman" w:hAnsi="Calibri" w:cs="Times New Roman"/>
                <w:color w:val="000000"/>
                <w:sz w:val="20"/>
                <w:szCs w:val="20"/>
              </w:rPr>
              <w:t xml:space="preserve"> </w:t>
            </w:r>
            <w:r w:rsidR="00894354">
              <w:rPr>
                <w:rFonts w:ascii="Calibri" w:eastAsia="Times New Roman" w:hAnsi="Calibri" w:cs="Times New Roman"/>
                <w:color w:val="000000"/>
                <w:sz w:val="20"/>
                <w:szCs w:val="20"/>
              </w:rPr>
              <w:t>and 5</w:t>
            </w:r>
            <w:r>
              <w:rPr>
                <w:rFonts w:ascii="Calibri" w:eastAsia="Times New Roman" w:hAnsi="Calibri" w:cs="Times New Roman"/>
                <w:color w:val="000000"/>
                <w:sz w:val="20"/>
                <w:szCs w:val="20"/>
              </w:rPr>
              <w:t>9 years of age as of the last day of the federal fiscal year reported</w:t>
            </w:r>
          </w:p>
        </w:tc>
      </w:tr>
      <w:tr w:rsidR="007E799D" w:rsidRPr="00F817A4" w:rsidTr="003D6BCC">
        <w:trPr>
          <w:trHeight w:hRule="exact" w:val="504"/>
          <w:tblHeader/>
        </w:trPr>
        <w:tc>
          <w:tcPr>
            <w:tcW w:w="1890" w:type="dxa"/>
            <w:shd w:val="clear" w:color="auto" w:fill="auto"/>
            <w:noWrap/>
          </w:tcPr>
          <w:p w:rsidR="007E799D" w:rsidRPr="00F817A4" w:rsidRDefault="007E799D" w:rsidP="007E799D">
            <w:pPr>
              <w:rPr>
                <w:rFonts w:ascii="Calibri" w:hAnsi="Calibri"/>
                <w:color w:val="000000"/>
                <w:sz w:val="20"/>
                <w:szCs w:val="20"/>
              </w:rPr>
            </w:pPr>
          </w:p>
        </w:tc>
        <w:tc>
          <w:tcPr>
            <w:tcW w:w="3060" w:type="dxa"/>
            <w:shd w:val="clear" w:color="auto" w:fill="auto"/>
            <w:noWrap/>
            <w:vAlign w:val="bottom"/>
          </w:tcPr>
          <w:p w:rsidR="007E799D" w:rsidRDefault="007E799D">
            <w:pPr>
              <w:rPr>
                <w:rFonts w:ascii="Calibri" w:hAnsi="Calibri"/>
                <w:color w:val="000000"/>
                <w:sz w:val="20"/>
                <w:szCs w:val="20"/>
              </w:rPr>
            </w:pPr>
            <w:r>
              <w:rPr>
                <w:rFonts w:ascii="Calibri" w:hAnsi="Calibri"/>
                <w:color w:val="000000"/>
                <w:sz w:val="20"/>
                <w:szCs w:val="20"/>
              </w:rPr>
              <w:t>Age: 55 -59</w:t>
            </w:r>
          </w:p>
        </w:tc>
        <w:tc>
          <w:tcPr>
            <w:tcW w:w="5238" w:type="dxa"/>
            <w:shd w:val="clear" w:color="auto" w:fill="auto"/>
            <w:noWrap/>
          </w:tcPr>
          <w:p w:rsidR="007E799D" w:rsidRPr="008A71E1" w:rsidRDefault="00B22AC5" w:rsidP="0089435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A person’s age is between </w:t>
            </w:r>
            <w:r w:rsidR="00894354">
              <w:rPr>
                <w:rFonts w:ascii="Calibri" w:eastAsia="Times New Roman" w:hAnsi="Calibri" w:cs="Times New Roman"/>
                <w:color w:val="000000"/>
                <w:sz w:val="20"/>
                <w:szCs w:val="20"/>
              </w:rPr>
              <w:t>55</w:t>
            </w:r>
            <w:r>
              <w:rPr>
                <w:rFonts w:ascii="Calibri" w:eastAsia="Times New Roman" w:hAnsi="Calibri" w:cs="Times New Roman"/>
                <w:color w:val="000000"/>
                <w:sz w:val="20"/>
                <w:szCs w:val="20"/>
              </w:rPr>
              <w:t xml:space="preserve"> </w:t>
            </w:r>
            <w:r w:rsidR="00894354">
              <w:rPr>
                <w:rFonts w:ascii="Calibri" w:eastAsia="Times New Roman" w:hAnsi="Calibri" w:cs="Times New Roman"/>
                <w:color w:val="000000"/>
                <w:sz w:val="20"/>
                <w:szCs w:val="20"/>
              </w:rPr>
              <w:t>and 5</w:t>
            </w:r>
            <w:r>
              <w:rPr>
                <w:rFonts w:ascii="Calibri" w:eastAsia="Times New Roman" w:hAnsi="Calibri" w:cs="Times New Roman"/>
                <w:color w:val="000000"/>
                <w:sz w:val="20"/>
                <w:szCs w:val="20"/>
              </w:rPr>
              <w:t>9 years of age as of the last day of the federal fiscal year reported</w:t>
            </w:r>
          </w:p>
        </w:tc>
      </w:tr>
      <w:tr w:rsidR="008A71E1" w:rsidRPr="00F817A4" w:rsidTr="003D6BCC">
        <w:trPr>
          <w:trHeight w:hRule="exact" w:val="504"/>
          <w:tblHeader/>
        </w:trPr>
        <w:tc>
          <w:tcPr>
            <w:tcW w:w="1890" w:type="dxa"/>
            <w:shd w:val="clear" w:color="auto" w:fill="auto"/>
            <w:noWrap/>
          </w:tcPr>
          <w:p w:rsidR="008A71E1" w:rsidRPr="00F817A4" w:rsidRDefault="008A71E1" w:rsidP="007E799D">
            <w:pPr>
              <w:rPr>
                <w:rFonts w:ascii="Calibri" w:hAnsi="Calibri"/>
                <w:color w:val="000000"/>
                <w:sz w:val="20"/>
                <w:szCs w:val="20"/>
              </w:rPr>
            </w:pPr>
          </w:p>
        </w:tc>
        <w:tc>
          <w:tcPr>
            <w:tcW w:w="3060" w:type="dxa"/>
            <w:shd w:val="clear" w:color="auto" w:fill="auto"/>
            <w:noWrap/>
            <w:hideMark/>
          </w:tcPr>
          <w:p w:rsidR="008A71E1" w:rsidRPr="00F817A4" w:rsidRDefault="008A71E1" w:rsidP="007E799D">
            <w:pPr>
              <w:rPr>
                <w:rFonts w:ascii="Calibri" w:hAnsi="Calibri"/>
                <w:color w:val="000000"/>
                <w:sz w:val="20"/>
                <w:szCs w:val="20"/>
              </w:rPr>
            </w:pPr>
            <w:r w:rsidRPr="00F817A4">
              <w:rPr>
                <w:rFonts w:ascii="Calibri" w:hAnsi="Calibri"/>
                <w:color w:val="000000"/>
                <w:sz w:val="20"/>
                <w:szCs w:val="20"/>
              </w:rPr>
              <w:t>Age: &lt;60</w:t>
            </w:r>
          </w:p>
        </w:tc>
        <w:tc>
          <w:tcPr>
            <w:tcW w:w="5238" w:type="dxa"/>
            <w:shd w:val="clear" w:color="auto" w:fill="auto"/>
            <w:noWrap/>
            <w:hideMark/>
          </w:tcPr>
          <w:p w:rsidR="008A71E1" w:rsidRPr="008A71E1" w:rsidRDefault="00B22AC5" w:rsidP="0089435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A person’s age is </w:t>
            </w:r>
            <w:r w:rsidR="00894354">
              <w:rPr>
                <w:rFonts w:ascii="Calibri" w:eastAsia="Times New Roman" w:hAnsi="Calibri" w:cs="Times New Roman"/>
                <w:color w:val="000000"/>
                <w:sz w:val="20"/>
                <w:szCs w:val="20"/>
              </w:rPr>
              <w:t xml:space="preserve">under 60 </w:t>
            </w:r>
            <w:r>
              <w:rPr>
                <w:rFonts w:ascii="Calibri" w:eastAsia="Times New Roman" w:hAnsi="Calibri" w:cs="Times New Roman"/>
                <w:color w:val="000000"/>
                <w:sz w:val="20"/>
                <w:szCs w:val="20"/>
              </w:rPr>
              <w:t>years of age as of the last day of the federal fiscal year reported</w:t>
            </w:r>
          </w:p>
        </w:tc>
      </w:tr>
      <w:tr w:rsidR="008A71E1" w:rsidRPr="00F817A4" w:rsidTr="003D6BCC">
        <w:trPr>
          <w:trHeight w:hRule="exact" w:val="504"/>
          <w:tblHeader/>
        </w:trPr>
        <w:tc>
          <w:tcPr>
            <w:tcW w:w="1890" w:type="dxa"/>
            <w:shd w:val="clear" w:color="auto" w:fill="auto"/>
            <w:noWrap/>
          </w:tcPr>
          <w:p w:rsidR="008A71E1" w:rsidRPr="00F817A4" w:rsidRDefault="008A71E1" w:rsidP="007E799D">
            <w:pPr>
              <w:rPr>
                <w:rFonts w:ascii="Calibri" w:hAnsi="Calibri"/>
                <w:color w:val="000000"/>
                <w:sz w:val="20"/>
                <w:szCs w:val="20"/>
              </w:rPr>
            </w:pPr>
          </w:p>
        </w:tc>
        <w:tc>
          <w:tcPr>
            <w:tcW w:w="3060" w:type="dxa"/>
            <w:shd w:val="clear" w:color="auto" w:fill="auto"/>
            <w:noWrap/>
            <w:hideMark/>
          </w:tcPr>
          <w:p w:rsidR="008A71E1" w:rsidRPr="00F817A4" w:rsidRDefault="008A71E1" w:rsidP="007E799D">
            <w:pPr>
              <w:rPr>
                <w:rFonts w:ascii="Calibri" w:hAnsi="Calibri"/>
                <w:color w:val="000000"/>
                <w:sz w:val="20"/>
                <w:szCs w:val="20"/>
              </w:rPr>
            </w:pPr>
            <w:r w:rsidRPr="00F817A4">
              <w:rPr>
                <w:rFonts w:ascii="Calibri" w:hAnsi="Calibri"/>
                <w:color w:val="000000"/>
                <w:sz w:val="20"/>
                <w:szCs w:val="20"/>
              </w:rPr>
              <w:t>Age: 60 -64</w:t>
            </w:r>
          </w:p>
        </w:tc>
        <w:tc>
          <w:tcPr>
            <w:tcW w:w="5238" w:type="dxa"/>
            <w:shd w:val="clear" w:color="auto" w:fill="auto"/>
            <w:noWrap/>
            <w:hideMark/>
          </w:tcPr>
          <w:p w:rsidR="008A71E1" w:rsidRPr="008A71E1" w:rsidRDefault="00B22AC5" w:rsidP="0089435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A person’s age is between </w:t>
            </w:r>
            <w:r w:rsidR="00894354">
              <w:rPr>
                <w:rFonts w:ascii="Calibri" w:eastAsia="Times New Roman" w:hAnsi="Calibri" w:cs="Times New Roman"/>
                <w:color w:val="000000"/>
                <w:sz w:val="20"/>
                <w:szCs w:val="20"/>
              </w:rPr>
              <w:t>60</w:t>
            </w:r>
            <w:r>
              <w:rPr>
                <w:rFonts w:ascii="Calibri" w:eastAsia="Times New Roman" w:hAnsi="Calibri" w:cs="Times New Roman"/>
                <w:color w:val="000000"/>
                <w:sz w:val="20"/>
                <w:szCs w:val="20"/>
              </w:rPr>
              <w:t xml:space="preserve"> and </w:t>
            </w:r>
            <w:r w:rsidR="00894354">
              <w:rPr>
                <w:rFonts w:ascii="Calibri" w:eastAsia="Times New Roman" w:hAnsi="Calibri" w:cs="Times New Roman"/>
                <w:color w:val="000000"/>
                <w:sz w:val="20"/>
                <w:szCs w:val="20"/>
              </w:rPr>
              <w:t xml:space="preserve">64 </w:t>
            </w:r>
            <w:r>
              <w:rPr>
                <w:rFonts w:ascii="Calibri" w:eastAsia="Times New Roman" w:hAnsi="Calibri" w:cs="Times New Roman"/>
                <w:color w:val="000000"/>
                <w:sz w:val="20"/>
                <w:szCs w:val="20"/>
              </w:rPr>
              <w:t>years of age as of the last day of the federal fiscal year reported</w:t>
            </w:r>
          </w:p>
        </w:tc>
      </w:tr>
      <w:tr w:rsidR="008A71E1" w:rsidRPr="00F817A4" w:rsidTr="003D6BCC">
        <w:trPr>
          <w:trHeight w:hRule="exact" w:val="504"/>
          <w:tblHeader/>
        </w:trPr>
        <w:tc>
          <w:tcPr>
            <w:tcW w:w="1890" w:type="dxa"/>
            <w:shd w:val="clear" w:color="auto" w:fill="auto"/>
            <w:noWrap/>
          </w:tcPr>
          <w:p w:rsidR="008A71E1" w:rsidRPr="00F817A4" w:rsidRDefault="008A71E1" w:rsidP="007E799D">
            <w:pPr>
              <w:rPr>
                <w:rFonts w:ascii="Calibri" w:hAnsi="Calibri"/>
                <w:color w:val="000000"/>
                <w:sz w:val="20"/>
                <w:szCs w:val="20"/>
              </w:rPr>
            </w:pPr>
          </w:p>
        </w:tc>
        <w:tc>
          <w:tcPr>
            <w:tcW w:w="3060" w:type="dxa"/>
            <w:shd w:val="clear" w:color="auto" w:fill="auto"/>
            <w:noWrap/>
            <w:hideMark/>
          </w:tcPr>
          <w:p w:rsidR="008A71E1" w:rsidRPr="00F817A4" w:rsidRDefault="008A71E1" w:rsidP="007E799D">
            <w:pPr>
              <w:rPr>
                <w:rFonts w:ascii="Calibri" w:hAnsi="Calibri"/>
                <w:color w:val="000000"/>
                <w:sz w:val="20"/>
                <w:szCs w:val="20"/>
              </w:rPr>
            </w:pPr>
            <w:r w:rsidRPr="00F817A4">
              <w:rPr>
                <w:rFonts w:ascii="Calibri" w:hAnsi="Calibri"/>
                <w:color w:val="000000"/>
                <w:sz w:val="20"/>
                <w:szCs w:val="20"/>
              </w:rPr>
              <w:t>Age: 65-74</w:t>
            </w:r>
          </w:p>
        </w:tc>
        <w:tc>
          <w:tcPr>
            <w:tcW w:w="5238" w:type="dxa"/>
            <w:shd w:val="clear" w:color="auto" w:fill="auto"/>
            <w:noWrap/>
            <w:hideMark/>
          </w:tcPr>
          <w:p w:rsidR="008A71E1" w:rsidRPr="008A71E1" w:rsidRDefault="00B22AC5" w:rsidP="0089435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A person’s age is between </w:t>
            </w:r>
            <w:r w:rsidR="00642887">
              <w:rPr>
                <w:rFonts w:ascii="Calibri" w:eastAsia="Times New Roman" w:hAnsi="Calibri" w:cs="Times New Roman"/>
                <w:color w:val="000000"/>
                <w:sz w:val="20"/>
                <w:szCs w:val="20"/>
              </w:rPr>
              <w:t>65</w:t>
            </w:r>
            <w:r>
              <w:rPr>
                <w:rFonts w:ascii="Calibri" w:eastAsia="Times New Roman" w:hAnsi="Calibri" w:cs="Times New Roman"/>
                <w:color w:val="000000"/>
                <w:sz w:val="20"/>
                <w:szCs w:val="20"/>
              </w:rPr>
              <w:t xml:space="preserve"> and </w:t>
            </w:r>
            <w:r w:rsidR="00894354">
              <w:rPr>
                <w:rFonts w:ascii="Calibri" w:eastAsia="Times New Roman" w:hAnsi="Calibri" w:cs="Times New Roman"/>
                <w:color w:val="000000"/>
                <w:sz w:val="20"/>
                <w:szCs w:val="20"/>
              </w:rPr>
              <w:t>74</w:t>
            </w:r>
            <w:r>
              <w:rPr>
                <w:rFonts w:ascii="Calibri" w:eastAsia="Times New Roman" w:hAnsi="Calibri" w:cs="Times New Roman"/>
                <w:color w:val="000000"/>
                <w:sz w:val="20"/>
                <w:szCs w:val="20"/>
              </w:rPr>
              <w:t xml:space="preserve"> years of age as of the last day of the federal fiscal year reported</w:t>
            </w:r>
          </w:p>
        </w:tc>
      </w:tr>
      <w:tr w:rsidR="008A71E1" w:rsidRPr="00F817A4" w:rsidTr="003D6BCC">
        <w:trPr>
          <w:trHeight w:hRule="exact" w:val="504"/>
          <w:tblHeader/>
        </w:trPr>
        <w:tc>
          <w:tcPr>
            <w:tcW w:w="1890" w:type="dxa"/>
            <w:shd w:val="clear" w:color="auto" w:fill="auto"/>
            <w:noWrap/>
          </w:tcPr>
          <w:p w:rsidR="008A71E1" w:rsidRPr="00F817A4" w:rsidRDefault="008A71E1" w:rsidP="007E799D">
            <w:pPr>
              <w:rPr>
                <w:rFonts w:ascii="Calibri" w:hAnsi="Calibri"/>
                <w:color w:val="000000"/>
                <w:sz w:val="20"/>
                <w:szCs w:val="20"/>
              </w:rPr>
            </w:pPr>
          </w:p>
        </w:tc>
        <w:tc>
          <w:tcPr>
            <w:tcW w:w="3060" w:type="dxa"/>
            <w:shd w:val="clear" w:color="auto" w:fill="auto"/>
            <w:noWrap/>
            <w:hideMark/>
          </w:tcPr>
          <w:p w:rsidR="008A71E1" w:rsidRPr="00F817A4" w:rsidRDefault="008A71E1" w:rsidP="007E799D">
            <w:pPr>
              <w:rPr>
                <w:rFonts w:ascii="Calibri" w:hAnsi="Calibri"/>
                <w:color w:val="000000"/>
                <w:sz w:val="20"/>
                <w:szCs w:val="20"/>
              </w:rPr>
            </w:pPr>
            <w:r w:rsidRPr="00F817A4">
              <w:rPr>
                <w:rFonts w:ascii="Calibri" w:hAnsi="Calibri"/>
                <w:color w:val="000000"/>
                <w:sz w:val="20"/>
                <w:szCs w:val="20"/>
              </w:rPr>
              <w:t>Age: 75 - 84</w:t>
            </w:r>
          </w:p>
        </w:tc>
        <w:tc>
          <w:tcPr>
            <w:tcW w:w="5238" w:type="dxa"/>
            <w:shd w:val="clear" w:color="auto" w:fill="auto"/>
            <w:noWrap/>
            <w:hideMark/>
          </w:tcPr>
          <w:p w:rsidR="008A71E1" w:rsidRPr="008A71E1" w:rsidRDefault="00B22AC5" w:rsidP="0064288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A person’s age is between </w:t>
            </w:r>
            <w:r w:rsidR="00642887">
              <w:rPr>
                <w:rFonts w:ascii="Calibri" w:eastAsia="Times New Roman" w:hAnsi="Calibri" w:cs="Times New Roman"/>
                <w:color w:val="000000"/>
                <w:sz w:val="20"/>
                <w:szCs w:val="20"/>
              </w:rPr>
              <w:t>75</w:t>
            </w:r>
            <w:r>
              <w:rPr>
                <w:rFonts w:ascii="Calibri" w:eastAsia="Times New Roman" w:hAnsi="Calibri" w:cs="Times New Roman"/>
                <w:color w:val="000000"/>
                <w:sz w:val="20"/>
                <w:szCs w:val="20"/>
              </w:rPr>
              <w:t xml:space="preserve"> and </w:t>
            </w:r>
            <w:r w:rsidR="00642887">
              <w:rPr>
                <w:rFonts w:ascii="Calibri" w:eastAsia="Times New Roman" w:hAnsi="Calibri" w:cs="Times New Roman"/>
                <w:color w:val="000000"/>
                <w:sz w:val="20"/>
                <w:szCs w:val="20"/>
              </w:rPr>
              <w:t>84</w:t>
            </w:r>
            <w:r>
              <w:rPr>
                <w:rFonts w:ascii="Calibri" w:eastAsia="Times New Roman" w:hAnsi="Calibri" w:cs="Times New Roman"/>
                <w:color w:val="000000"/>
                <w:sz w:val="20"/>
                <w:szCs w:val="20"/>
              </w:rPr>
              <w:t xml:space="preserve"> years of age as of the last day of the federal fiscal year reported</w:t>
            </w:r>
          </w:p>
        </w:tc>
      </w:tr>
      <w:tr w:rsidR="008A71E1" w:rsidRPr="00F817A4" w:rsidTr="003D6BCC">
        <w:trPr>
          <w:trHeight w:hRule="exact" w:val="504"/>
          <w:tblHeader/>
        </w:trPr>
        <w:tc>
          <w:tcPr>
            <w:tcW w:w="1890" w:type="dxa"/>
            <w:shd w:val="clear" w:color="auto" w:fill="auto"/>
            <w:noWrap/>
          </w:tcPr>
          <w:p w:rsidR="008A71E1" w:rsidRPr="00F817A4" w:rsidRDefault="008A71E1" w:rsidP="007E799D">
            <w:pPr>
              <w:rPr>
                <w:rFonts w:ascii="Calibri" w:hAnsi="Calibri"/>
                <w:color w:val="000000"/>
                <w:sz w:val="20"/>
                <w:szCs w:val="20"/>
              </w:rPr>
            </w:pPr>
          </w:p>
        </w:tc>
        <w:tc>
          <w:tcPr>
            <w:tcW w:w="3060" w:type="dxa"/>
            <w:shd w:val="clear" w:color="auto" w:fill="auto"/>
            <w:noWrap/>
            <w:hideMark/>
          </w:tcPr>
          <w:p w:rsidR="008A71E1" w:rsidRPr="00F817A4" w:rsidRDefault="008A71E1" w:rsidP="007E799D">
            <w:pPr>
              <w:rPr>
                <w:rFonts w:ascii="Calibri" w:hAnsi="Calibri"/>
                <w:color w:val="000000"/>
                <w:sz w:val="20"/>
                <w:szCs w:val="20"/>
              </w:rPr>
            </w:pPr>
            <w:r w:rsidRPr="00F817A4">
              <w:rPr>
                <w:rFonts w:ascii="Calibri" w:hAnsi="Calibri"/>
                <w:color w:val="000000"/>
                <w:sz w:val="20"/>
                <w:szCs w:val="20"/>
              </w:rPr>
              <w:t>Age: 85+</w:t>
            </w:r>
          </w:p>
        </w:tc>
        <w:tc>
          <w:tcPr>
            <w:tcW w:w="5238" w:type="dxa"/>
            <w:shd w:val="clear" w:color="auto" w:fill="auto"/>
            <w:noWrap/>
            <w:hideMark/>
          </w:tcPr>
          <w:p w:rsidR="008A71E1" w:rsidRPr="008A71E1" w:rsidRDefault="00B22AC5" w:rsidP="0064288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A person’s age is </w:t>
            </w:r>
            <w:r w:rsidR="00642887">
              <w:rPr>
                <w:rFonts w:ascii="Calibri" w:eastAsia="Times New Roman" w:hAnsi="Calibri" w:cs="Times New Roman"/>
                <w:color w:val="000000"/>
                <w:sz w:val="20"/>
                <w:szCs w:val="20"/>
              </w:rPr>
              <w:t>age 85</w:t>
            </w:r>
            <w:r>
              <w:rPr>
                <w:rFonts w:ascii="Calibri" w:eastAsia="Times New Roman" w:hAnsi="Calibri" w:cs="Times New Roman"/>
                <w:color w:val="000000"/>
                <w:sz w:val="20"/>
                <w:szCs w:val="20"/>
              </w:rPr>
              <w:t xml:space="preserve"> years of age </w:t>
            </w:r>
            <w:r w:rsidR="00642887">
              <w:rPr>
                <w:rFonts w:ascii="Calibri" w:eastAsia="Times New Roman" w:hAnsi="Calibri" w:cs="Times New Roman"/>
                <w:color w:val="000000"/>
                <w:sz w:val="20"/>
                <w:szCs w:val="20"/>
              </w:rPr>
              <w:t xml:space="preserve">or older </w:t>
            </w:r>
            <w:r>
              <w:rPr>
                <w:rFonts w:ascii="Calibri" w:eastAsia="Times New Roman" w:hAnsi="Calibri" w:cs="Times New Roman"/>
                <w:color w:val="000000"/>
                <w:sz w:val="20"/>
                <w:szCs w:val="20"/>
              </w:rPr>
              <w:t>as of the last day of the federal fiscal year reported</w:t>
            </w:r>
          </w:p>
        </w:tc>
      </w:tr>
      <w:tr w:rsidR="008A71E1" w:rsidRPr="00F817A4" w:rsidTr="003D6BCC">
        <w:trPr>
          <w:trHeight w:hRule="exact" w:val="264"/>
          <w:tblHeader/>
        </w:trPr>
        <w:tc>
          <w:tcPr>
            <w:tcW w:w="1890" w:type="dxa"/>
            <w:shd w:val="clear" w:color="auto" w:fill="auto"/>
            <w:noWrap/>
            <w:hideMark/>
          </w:tcPr>
          <w:p w:rsidR="008A71E1" w:rsidRPr="00F817A4" w:rsidRDefault="008A71E1" w:rsidP="007E799D">
            <w:pPr>
              <w:rPr>
                <w:rFonts w:ascii="Calibri" w:hAnsi="Calibri"/>
                <w:color w:val="000000"/>
                <w:sz w:val="20"/>
                <w:szCs w:val="20"/>
              </w:rPr>
            </w:pPr>
            <w:r w:rsidRPr="00F817A4">
              <w:rPr>
                <w:rFonts w:ascii="Calibri" w:hAnsi="Calibri"/>
                <w:color w:val="000000"/>
                <w:sz w:val="20"/>
                <w:szCs w:val="20"/>
              </w:rPr>
              <w:t>Gender</w:t>
            </w:r>
          </w:p>
        </w:tc>
        <w:tc>
          <w:tcPr>
            <w:tcW w:w="3060" w:type="dxa"/>
            <w:shd w:val="clear" w:color="auto" w:fill="auto"/>
            <w:noWrap/>
            <w:hideMark/>
          </w:tcPr>
          <w:p w:rsidR="008A71E1" w:rsidRPr="008A71E1" w:rsidRDefault="008A71E1" w:rsidP="007E799D">
            <w:pPr>
              <w:spacing w:after="0" w:line="240" w:lineRule="auto"/>
              <w:rPr>
                <w:rFonts w:ascii="Calibri" w:eastAsia="Times New Roman" w:hAnsi="Calibri" w:cs="Times New Roman"/>
                <w:color w:val="000000"/>
                <w:sz w:val="20"/>
                <w:szCs w:val="20"/>
              </w:rPr>
            </w:pPr>
          </w:p>
        </w:tc>
        <w:tc>
          <w:tcPr>
            <w:tcW w:w="5238" w:type="dxa"/>
            <w:shd w:val="clear" w:color="auto" w:fill="auto"/>
            <w:noWrap/>
            <w:hideMark/>
          </w:tcPr>
          <w:p w:rsidR="008A71E1" w:rsidRPr="008A71E1" w:rsidRDefault="00A90038" w:rsidP="003D6BC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One’s inner sense of </w:t>
            </w:r>
            <w:r w:rsidRPr="00A90038">
              <w:rPr>
                <w:rFonts w:ascii="Calibri" w:eastAsia="Times New Roman" w:hAnsi="Calibri" w:cs="Times New Roman"/>
                <w:color w:val="000000"/>
                <w:sz w:val="20"/>
                <w:szCs w:val="20"/>
              </w:rPr>
              <w:t>one’s o</w:t>
            </w:r>
            <w:r w:rsidR="003D6BCC">
              <w:rPr>
                <w:rFonts w:ascii="Calibri" w:eastAsia="Times New Roman" w:hAnsi="Calibri" w:cs="Times New Roman"/>
                <w:color w:val="000000"/>
                <w:sz w:val="20"/>
                <w:szCs w:val="20"/>
              </w:rPr>
              <w:t>wn gender.</w:t>
            </w:r>
          </w:p>
        </w:tc>
      </w:tr>
      <w:tr w:rsidR="008A71E1" w:rsidRPr="00F817A4" w:rsidTr="003D6BCC">
        <w:trPr>
          <w:trHeight w:hRule="exact" w:val="288"/>
          <w:tblHeader/>
        </w:trPr>
        <w:tc>
          <w:tcPr>
            <w:tcW w:w="1890" w:type="dxa"/>
            <w:shd w:val="clear" w:color="auto" w:fill="auto"/>
            <w:noWrap/>
          </w:tcPr>
          <w:p w:rsidR="008A71E1" w:rsidRPr="00F817A4" w:rsidRDefault="008A71E1" w:rsidP="007E799D">
            <w:pPr>
              <w:rPr>
                <w:rFonts w:ascii="Calibri" w:hAnsi="Calibri"/>
                <w:color w:val="000000"/>
                <w:sz w:val="20"/>
                <w:szCs w:val="20"/>
              </w:rPr>
            </w:pPr>
          </w:p>
        </w:tc>
        <w:tc>
          <w:tcPr>
            <w:tcW w:w="3060" w:type="dxa"/>
            <w:shd w:val="clear" w:color="auto" w:fill="auto"/>
            <w:noWrap/>
            <w:hideMark/>
          </w:tcPr>
          <w:p w:rsidR="008A71E1" w:rsidRPr="00F817A4" w:rsidRDefault="008A71E1" w:rsidP="007E799D">
            <w:pPr>
              <w:rPr>
                <w:rFonts w:ascii="Calibri" w:hAnsi="Calibri"/>
                <w:color w:val="000000"/>
                <w:sz w:val="20"/>
                <w:szCs w:val="20"/>
              </w:rPr>
            </w:pPr>
            <w:r w:rsidRPr="00F817A4">
              <w:rPr>
                <w:rFonts w:ascii="Calibri" w:hAnsi="Calibri"/>
                <w:color w:val="000000"/>
                <w:sz w:val="20"/>
                <w:szCs w:val="20"/>
              </w:rPr>
              <w:t>Female</w:t>
            </w:r>
          </w:p>
        </w:tc>
        <w:tc>
          <w:tcPr>
            <w:tcW w:w="5238" w:type="dxa"/>
            <w:shd w:val="clear" w:color="auto" w:fill="auto"/>
            <w:noWrap/>
            <w:hideMark/>
          </w:tcPr>
          <w:p w:rsidR="008A71E1" w:rsidRPr="008A71E1" w:rsidRDefault="00245B76" w:rsidP="007E799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One’s inner sense of </w:t>
            </w:r>
            <w:r w:rsidRPr="00A90038">
              <w:rPr>
                <w:rFonts w:ascii="Calibri" w:eastAsia="Times New Roman" w:hAnsi="Calibri" w:cs="Times New Roman"/>
                <w:color w:val="000000"/>
                <w:sz w:val="20"/>
                <w:szCs w:val="20"/>
              </w:rPr>
              <w:t>one’s o</w:t>
            </w:r>
            <w:r>
              <w:rPr>
                <w:rFonts w:ascii="Calibri" w:eastAsia="Times New Roman" w:hAnsi="Calibri" w:cs="Times New Roman"/>
                <w:color w:val="000000"/>
                <w:sz w:val="20"/>
                <w:szCs w:val="20"/>
              </w:rPr>
              <w:t>wn gender is female.</w:t>
            </w:r>
          </w:p>
        </w:tc>
      </w:tr>
      <w:tr w:rsidR="008A71E1" w:rsidRPr="00F817A4" w:rsidTr="003D6BCC">
        <w:trPr>
          <w:trHeight w:hRule="exact" w:val="288"/>
          <w:tblHeader/>
        </w:trPr>
        <w:tc>
          <w:tcPr>
            <w:tcW w:w="1890" w:type="dxa"/>
            <w:shd w:val="clear" w:color="auto" w:fill="auto"/>
            <w:noWrap/>
          </w:tcPr>
          <w:p w:rsidR="008A71E1" w:rsidRPr="00F817A4" w:rsidRDefault="008A71E1" w:rsidP="007E799D">
            <w:pPr>
              <w:rPr>
                <w:rFonts w:ascii="Calibri" w:hAnsi="Calibri"/>
                <w:color w:val="000000"/>
                <w:sz w:val="20"/>
                <w:szCs w:val="20"/>
              </w:rPr>
            </w:pPr>
          </w:p>
        </w:tc>
        <w:tc>
          <w:tcPr>
            <w:tcW w:w="3060" w:type="dxa"/>
            <w:shd w:val="clear" w:color="auto" w:fill="auto"/>
            <w:noWrap/>
            <w:hideMark/>
          </w:tcPr>
          <w:p w:rsidR="008A71E1" w:rsidRPr="00F817A4" w:rsidRDefault="008A71E1" w:rsidP="007E799D">
            <w:pPr>
              <w:rPr>
                <w:rFonts w:ascii="Calibri" w:hAnsi="Calibri"/>
                <w:color w:val="000000"/>
                <w:sz w:val="20"/>
                <w:szCs w:val="20"/>
              </w:rPr>
            </w:pPr>
            <w:r w:rsidRPr="00F817A4">
              <w:rPr>
                <w:rFonts w:ascii="Calibri" w:hAnsi="Calibri"/>
                <w:color w:val="000000"/>
                <w:sz w:val="20"/>
                <w:szCs w:val="20"/>
              </w:rPr>
              <w:t>Male</w:t>
            </w:r>
          </w:p>
        </w:tc>
        <w:tc>
          <w:tcPr>
            <w:tcW w:w="5238" w:type="dxa"/>
            <w:shd w:val="clear" w:color="auto" w:fill="auto"/>
            <w:noWrap/>
            <w:hideMark/>
          </w:tcPr>
          <w:p w:rsidR="008A71E1" w:rsidRPr="008A71E1" w:rsidRDefault="00245B76" w:rsidP="007E799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One’s inner sense of </w:t>
            </w:r>
            <w:r w:rsidRPr="00A90038">
              <w:rPr>
                <w:rFonts w:ascii="Calibri" w:eastAsia="Times New Roman" w:hAnsi="Calibri" w:cs="Times New Roman"/>
                <w:color w:val="000000"/>
                <w:sz w:val="20"/>
                <w:szCs w:val="20"/>
              </w:rPr>
              <w:t>one’s o</w:t>
            </w:r>
            <w:r>
              <w:rPr>
                <w:rFonts w:ascii="Calibri" w:eastAsia="Times New Roman" w:hAnsi="Calibri" w:cs="Times New Roman"/>
                <w:color w:val="000000"/>
                <w:sz w:val="20"/>
                <w:szCs w:val="20"/>
              </w:rPr>
              <w:t>wn gender is male.</w:t>
            </w:r>
          </w:p>
        </w:tc>
      </w:tr>
      <w:tr w:rsidR="008A71E1" w:rsidRPr="00F817A4" w:rsidTr="003D6BCC">
        <w:trPr>
          <w:trHeight w:hRule="exact" w:val="588"/>
          <w:tblHeader/>
        </w:trPr>
        <w:tc>
          <w:tcPr>
            <w:tcW w:w="1890" w:type="dxa"/>
            <w:shd w:val="clear" w:color="auto" w:fill="auto"/>
            <w:noWrap/>
          </w:tcPr>
          <w:p w:rsidR="008A71E1" w:rsidRPr="00F817A4" w:rsidRDefault="008A71E1" w:rsidP="007E799D">
            <w:pPr>
              <w:rPr>
                <w:rFonts w:ascii="Calibri" w:hAnsi="Calibri"/>
                <w:color w:val="000000"/>
                <w:sz w:val="20"/>
                <w:szCs w:val="20"/>
              </w:rPr>
            </w:pPr>
          </w:p>
        </w:tc>
        <w:tc>
          <w:tcPr>
            <w:tcW w:w="3060" w:type="dxa"/>
            <w:shd w:val="clear" w:color="auto" w:fill="auto"/>
            <w:noWrap/>
            <w:hideMark/>
          </w:tcPr>
          <w:p w:rsidR="008A71E1" w:rsidRPr="00F817A4" w:rsidRDefault="008A71E1" w:rsidP="007E799D">
            <w:pPr>
              <w:rPr>
                <w:rFonts w:ascii="Calibri" w:hAnsi="Calibri"/>
                <w:color w:val="000000"/>
                <w:sz w:val="20"/>
                <w:szCs w:val="20"/>
              </w:rPr>
            </w:pPr>
            <w:r w:rsidRPr="00F817A4">
              <w:rPr>
                <w:rFonts w:ascii="Calibri" w:hAnsi="Calibri"/>
                <w:color w:val="000000"/>
                <w:sz w:val="20"/>
                <w:szCs w:val="20"/>
              </w:rPr>
              <w:t>Other</w:t>
            </w:r>
          </w:p>
        </w:tc>
        <w:tc>
          <w:tcPr>
            <w:tcW w:w="5238" w:type="dxa"/>
            <w:shd w:val="clear" w:color="auto" w:fill="auto"/>
            <w:noWrap/>
            <w:hideMark/>
          </w:tcPr>
          <w:p w:rsidR="008A71E1" w:rsidRPr="008A71E1" w:rsidRDefault="00245B76" w:rsidP="007E799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One’s inner sense of </w:t>
            </w:r>
            <w:r w:rsidRPr="00A90038">
              <w:rPr>
                <w:rFonts w:ascii="Calibri" w:eastAsia="Times New Roman" w:hAnsi="Calibri" w:cs="Times New Roman"/>
                <w:color w:val="000000"/>
                <w:sz w:val="20"/>
                <w:szCs w:val="20"/>
              </w:rPr>
              <w:t>one’s o</w:t>
            </w:r>
            <w:r>
              <w:rPr>
                <w:rFonts w:ascii="Calibri" w:eastAsia="Times New Roman" w:hAnsi="Calibri" w:cs="Times New Roman"/>
                <w:color w:val="000000"/>
                <w:sz w:val="20"/>
                <w:szCs w:val="20"/>
              </w:rPr>
              <w:t>wn gender is neither female nor male.</w:t>
            </w:r>
          </w:p>
        </w:tc>
      </w:tr>
      <w:tr w:rsidR="007E799D" w:rsidRPr="00F817A4" w:rsidTr="003D6BCC">
        <w:trPr>
          <w:trHeight w:hRule="exact" w:val="867"/>
          <w:tblHeader/>
        </w:trPr>
        <w:tc>
          <w:tcPr>
            <w:tcW w:w="1890" w:type="dxa"/>
            <w:shd w:val="clear" w:color="auto" w:fill="auto"/>
            <w:noWrap/>
          </w:tcPr>
          <w:p w:rsidR="007E799D" w:rsidRPr="00F817A4" w:rsidRDefault="007E799D" w:rsidP="007E799D">
            <w:pPr>
              <w:rPr>
                <w:rFonts w:ascii="Calibri" w:hAnsi="Calibri"/>
                <w:color w:val="000000"/>
                <w:sz w:val="20"/>
                <w:szCs w:val="20"/>
              </w:rPr>
            </w:pPr>
            <w:r w:rsidRPr="00F817A4">
              <w:rPr>
                <w:rFonts w:ascii="Calibri" w:hAnsi="Calibri"/>
                <w:color w:val="000000"/>
                <w:sz w:val="20"/>
                <w:szCs w:val="20"/>
              </w:rPr>
              <w:t>Geography</w:t>
            </w:r>
          </w:p>
        </w:tc>
        <w:tc>
          <w:tcPr>
            <w:tcW w:w="3060" w:type="dxa"/>
            <w:shd w:val="clear" w:color="auto" w:fill="auto"/>
            <w:noWrap/>
          </w:tcPr>
          <w:p w:rsidR="007E799D" w:rsidRPr="00F817A4" w:rsidRDefault="007E799D" w:rsidP="007E799D">
            <w:pPr>
              <w:spacing w:after="0" w:line="240" w:lineRule="auto"/>
              <w:rPr>
                <w:rFonts w:ascii="Calibri" w:eastAsia="Times New Roman" w:hAnsi="Calibri" w:cs="Times New Roman"/>
                <w:color w:val="000000"/>
                <w:sz w:val="20"/>
                <w:szCs w:val="20"/>
              </w:rPr>
            </w:pPr>
          </w:p>
        </w:tc>
        <w:tc>
          <w:tcPr>
            <w:tcW w:w="5238" w:type="dxa"/>
            <w:shd w:val="clear" w:color="auto" w:fill="auto"/>
            <w:noWrap/>
          </w:tcPr>
          <w:p w:rsidR="007E799D" w:rsidRPr="00F817A4" w:rsidRDefault="00245B76" w:rsidP="007E799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Type of developed environment in which the consumer lives as defined by the rural-urban commuting area (RUCA) codes </w:t>
            </w:r>
            <w:r w:rsidR="00CC5964">
              <w:rPr>
                <w:rFonts w:ascii="Calibri" w:eastAsia="Times New Roman" w:hAnsi="Calibri" w:cs="Times New Roman"/>
                <w:color w:val="000000"/>
                <w:sz w:val="20"/>
                <w:szCs w:val="20"/>
              </w:rPr>
              <w:t>defined at the zip code level</w:t>
            </w:r>
            <w:r w:rsidR="00A96493">
              <w:rPr>
                <w:rFonts w:ascii="Calibri" w:eastAsia="Times New Roman" w:hAnsi="Calibri" w:cs="Times New Roman"/>
                <w:color w:val="000000"/>
                <w:sz w:val="20"/>
                <w:szCs w:val="20"/>
              </w:rPr>
              <w:t>.  (Source: USDSA/HRSA)</w:t>
            </w:r>
          </w:p>
        </w:tc>
      </w:tr>
      <w:tr w:rsidR="007E799D" w:rsidRPr="00F817A4" w:rsidTr="003D6BCC">
        <w:trPr>
          <w:trHeight w:hRule="exact" w:val="288"/>
          <w:tblHeader/>
        </w:trPr>
        <w:tc>
          <w:tcPr>
            <w:tcW w:w="1890" w:type="dxa"/>
            <w:shd w:val="clear" w:color="auto" w:fill="auto"/>
            <w:noWrap/>
          </w:tcPr>
          <w:p w:rsidR="007E799D" w:rsidRPr="00F817A4" w:rsidRDefault="007E799D" w:rsidP="007E799D">
            <w:pPr>
              <w:rPr>
                <w:rFonts w:ascii="Calibri" w:hAnsi="Calibri"/>
                <w:color w:val="000000"/>
                <w:sz w:val="20"/>
                <w:szCs w:val="20"/>
              </w:rPr>
            </w:pPr>
          </w:p>
        </w:tc>
        <w:tc>
          <w:tcPr>
            <w:tcW w:w="3060" w:type="dxa"/>
            <w:shd w:val="clear" w:color="auto" w:fill="auto"/>
            <w:noWrap/>
          </w:tcPr>
          <w:p w:rsidR="007E799D" w:rsidRPr="00F817A4" w:rsidRDefault="007E799D" w:rsidP="007E799D">
            <w:pPr>
              <w:rPr>
                <w:rFonts w:ascii="Calibri" w:hAnsi="Calibri"/>
                <w:color w:val="000000"/>
                <w:sz w:val="20"/>
                <w:szCs w:val="20"/>
              </w:rPr>
            </w:pPr>
            <w:r w:rsidRPr="00F817A4">
              <w:rPr>
                <w:rFonts w:ascii="Calibri" w:hAnsi="Calibri"/>
                <w:color w:val="000000"/>
                <w:sz w:val="20"/>
                <w:szCs w:val="20"/>
              </w:rPr>
              <w:t>Rural</w:t>
            </w:r>
          </w:p>
        </w:tc>
        <w:tc>
          <w:tcPr>
            <w:tcW w:w="5238" w:type="dxa"/>
            <w:shd w:val="clear" w:color="auto" w:fill="auto"/>
            <w:noWrap/>
          </w:tcPr>
          <w:p w:rsidR="007E799D" w:rsidRPr="00F817A4" w:rsidRDefault="00CC5964" w:rsidP="007E799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RUCA code 10</w:t>
            </w:r>
          </w:p>
        </w:tc>
      </w:tr>
      <w:tr w:rsidR="007E799D" w:rsidRPr="00F817A4" w:rsidTr="003D6BCC">
        <w:trPr>
          <w:trHeight w:hRule="exact" w:val="288"/>
          <w:tblHeader/>
        </w:trPr>
        <w:tc>
          <w:tcPr>
            <w:tcW w:w="1890" w:type="dxa"/>
            <w:shd w:val="clear" w:color="auto" w:fill="auto"/>
            <w:noWrap/>
          </w:tcPr>
          <w:p w:rsidR="007E799D" w:rsidRPr="00F817A4" w:rsidRDefault="007E799D" w:rsidP="007E799D">
            <w:pPr>
              <w:rPr>
                <w:rFonts w:ascii="Calibri" w:hAnsi="Calibri"/>
                <w:color w:val="000000"/>
                <w:sz w:val="20"/>
                <w:szCs w:val="20"/>
              </w:rPr>
            </w:pPr>
          </w:p>
        </w:tc>
        <w:tc>
          <w:tcPr>
            <w:tcW w:w="3060" w:type="dxa"/>
            <w:shd w:val="clear" w:color="auto" w:fill="auto"/>
            <w:noWrap/>
          </w:tcPr>
          <w:p w:rsidR="007E799D" w:rsidRPr="00F817A4" w:rsidRDefault="007E799D" w:rsidP="007E799D">
            <w:pPr>
              <w:rPr>
                <w:rFonts w:ascii="Calibri" w:hAnsi="Calibri"/>
                <w:color w:val="000000"/>
                <w:sz w:val="20"/>
                <w:szCs w:val="20"/>
              </w:rPr>
            </w:pPr>
            <w:r w:rsidRPr="00F817A4">
              <w:rPr>
                <w:rFonts w:ascii="Calibri" w:hAnsi="Calibri"/>
                <w:color w:val="000000"/>
                <w:sz w:val="20"/>
                <w:szCs w:val="20"/>
              </w:rPr>
              <w:t>Non-Rural</w:t>
            </w:r>
          </w:p>
        </w:tc>
        <w:tc>
          <w:tcPr>
            <w:tcW w:w="5238" w:type="dxa"/>
            <w:shd w:val="clear" w:color="auto" w:fill="auto"/>
            <w:noWrap/>
          </w:tcPr>
          <w:p w:rsidR="007E799D" w:rsidRPr="00F817A4" w:rsidRDefault="00CC5964" w:rsidP="007E799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RUCA code 1- 9</w:t>
            </w:r>
          </w:p>
        </w:tc>
      </w:tr>
      <w:tr w:rsidR="007E799D" w:rsidRPr="00F817A4" w:rsidTr="003D6BCC">
        <w:trPr>
          <w:trHeight w:hRule="exact" w:val="1020"/>
          <w:tblHeader/>
        </w:trPr>
        <w:tc>
          <w:tcPr>
            <w:tcW w:w="1890" w:type="dxa"/>
            <w:shd w:val="clear" w:color="auto" w:fill="auto"/>
            <w:noWrap/>
          </w:tcPr>
          <w:p w:rsidR="007E799D" w:rsidRPr="00F817A4" w:rsidRDefault="007E799D" w:rsidP="007E799D">
            <w:pPr>
              <w:rPr>
                <w:rFonts w:ascii="Calibri" w:hAnsi="Calibri"/>
                <w:color w:val="000000"/>
                <w:sz w:val="20"/>
                <w:szCs w:val="20"/>
              </w:rPr>
            </w:pPr>
            <w:r w:rsidRPr="00F817A4">
              <w:rPr>
                <w:rFonts w:ascii="Calibri" w:hAnsi="Calibri"/>
                <w:color w:val="000000"/>
                <w:sz w:val="20"/>
                <w:szCs w:val="20"/>
              </w:rPr>
              <w:t>Poverty Status</w:t>
            </w:r>
            <w:r w:rsidR="006B282E">
              <w:rPr>
                <w:rStyle w:val="FootnoteReference"/>
                <w:rFonts w:ascii="Calibri" w:hAnsi="Calibri"/>
                <w:color w:val="000000"/>
                <w:sz w:val="20"/>
                <w:szCs w:val="20"/>
              </w:rPr>
              <w:footnoteReference w:id="1"/>
            </w:r>
          </w:p>
        </w:tc>
        <w:tc>
          <w:tcPr>
            <w:tcW w:w="3060" w:type="dxa"/>
            <w:shd w:val="clear" w:color="auto" w:fill="auto"/>
            <w:noWrap/>
          </w:tcPr>
          <w:p w:rsidR="007E799D" w:rsidRPr="00F817A4" w:rsidRDefault="007E799D" w:rsidP="007E799D">
            <w:pPr>
              <w:spacing w:after="0" w:line="240" w:lineRule="auto"/>
              <w:rPr>
                <w:rFonts w:ascii="Calibri" w:eastAsia="Times New Roman" w:hAnsi="Calibri" w:cs="Times New Roman"/>
                <w:color w:val="000000"/>
                <w:sz w:val="20"/>
                <w:szCs w:val="20"/>
              </w:rPr>
            </w:pPr>
          </w:p>
        </w:tc>
        <w:tc>
          <w:tcPr>
            <w:tcW w:w="5238" w:type="dxa"/>
            <w:shd w:val="clear" w:color="auto" w:fill="auto"/>
            <w:noWrap/>
          </w:tcPr>
          <w:p w:rsidR="007E799D" w:rsidRPr="00F817A4" w:rsidRDefault="00F84DBB" w:rsidP="007E799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An individual’</w:t>
            </w:r>
            <w:r w:rsidR="00F42C00">
              <w:rPr>
                <w:rFonts w:ascii="Calibri" w:eastAsia="Times New Roman" w:hAnsi="Calibri" w:cs="Times New Roman"/>
                <w:color w:val="000000"/>
                <w:sz w:val="20"/>
                <w:szCs w:val="20"/>
              </w:rPr>
              <w:t xml:space="preserve">s household income </w:t>
            </w:r>
            <w:r>
              <w:rPr>
                <w:rFonts w:ascii="Calibri" w:eastAsia="Times New Roman" w:hAnsi="Calibri" w:cs="Times New Roman"/>
                <w:color w:val="000000"/>
                <w:sz w:val="20"/>
                <w:szCs w:val="20"/>
              </w:rPr>
              <w:t>as it relates to the Department of Health and Human Services (DHHS) poverty guidelines as published each year in the Federal Register.</w:t>
            </w:r>
            <w:r w:rsidR="00A96493">
              <w:rPr>
                <w:rFonts w:ascii="Calibri" w:eastAsia="Times New Roman" w:hAnsi="Calibri" w:cs="Times New Roman"/>
                <w:color w:val="000000"/>
                <w:sz w:val="20"/>
                <w:szCs w:val="20"/>
              </w:rPr>
              <w:t xml:space="preserve"> (Source: DHHS)</w:t>
            </w:r>
          </w:p>
        </w:tc>
      </w:tr>
      <w:tr w:rsidR="007E799D" w:rsidRPr="00F817A4" w:rsidTr="003D6BCC">
        <w:trPr>
          <w:trHeight w:hRule="exact" w:val="1065"/>
          <w:tblHeader/>
        </w:trPr>
        <w:tc>
          <w:tcPr>
            <w:tcW w:w="1890" w:type="dxa"/>
            <w:shd w:val="clear" w:color="auto" w:fill="auto"/>
            <w:noWrap/>
          </w:tcPr>
          <w:p w:rsidR="007E799D" w:rsidRPr="00F817A4" w:rsidRDefault="007E799D" w:rsidP="007E799D">
            <w:pPr>
              <w:rPr>
                <w:rFonts w:ascii="Calibri" w:hAnsi="Calibri"/>
                <w:color w:val="000000"/>
                <w:sz w:val="20"/>
                <w:szCs w:val="20"/>
              </w:rPr>
            </w:pPr>
          </w:p>
        </w:tc>
        <w:tc>
          <w:tcPr>
            <w:tcW w:w="3060" w:type="dxa"/>
            <w:shd w:val="clear" w:color="auto" w:fill="auto"/>
            <w:noWrap/>
          </w:tcPr>
          <w:p w:rsidR="007E799D" w:rsidRPr="00F817A4" w:rsidRDefault="007E799D" w:rsidP="007E799D">
            <w:pPr>
              <w:rPr>
                <w:rFonts w:ascii="Calibri" w:hAnsi="Calibri"/>
                <w:color w:val="000000"/>
                <w:sz w:val="20"/>
                <w:szCs w:val="20"/>
              </w:rPr>
            </w:pPr>
            <w:r w:rsidRPr="00F817A4">
              <w:rPr>
                <w:rFonts w:ascii="Calibri" w:hAnsi="Calibri"/>
                <w:color w:val="000000"/>
                <w:sz w:val="20"/>
                <w:szCs w:val="20"/>
              </w:rPr>
              <w:t>At or Below Poverty</w:t>
            </w:r>
          </w:p>
        </w:tc>
        <w:tc>
          <w:tcPr>
            <w:tcW w:w="5238" w:type="dxa"/>
            <w:shd w:val="clear" w:color="auto" w:fill="auto"/>
            <w:noWrap/>
          </w:tcPr>
          <w:p w:rsidR="007E799D" w:rsidRPr="00F817A4" w:rsidRDefault="00F84DBB" w:rsidP="00F84DB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Persons considered </w:t>
            </w:r>
            <w:proofErr w:type="gramStart"/>
            <w:r>
              <w:rPr>
                <w:rFonts w:ascii="Calibri" w:eastAsia="Times New Roman" w:hAnsi="Calibri" w:cs="Times New Roman"/>
                <w:color w:val="000000"/>
                <w:sz w:val="20"/>
                <w:szCs w:val="20"/>
              </w:rPr>
              <w:t>to be</w:t>
            </w:r>
            <w:proofErr w:type="gramEnd"/>
            <w:r>
              <w:rPr>
                <w:rFonts w:ascii="Calibri" w:eastAsia="Times New Roman" w:hAnsi="Calibri" w:cs="Times New Roman"/>
                <w:color w:val="000000"/>
                <w:sz w:val="20"/>
                <w:szCs w:val="20"/>
              </w:rPr>
              <w:t xml:space="preserve"> at or below</w:t>
            </w:r>
            <w:r w:rsidRPr="00F84DBB">
              <w:rPr>
                <w:rFonts w:ascii="Calibri" w:eastAsia="Times New Roman" w:hAnsi="Calibri" w:cs="Times New Roman"/>
                <w:color w:val="000000"/>
                <w:sz w:val="20"/>
                <w:szCs w:val="20"/>
              </w:rPr>
              <w:t xml:space="preserve"> poverty are those whose </w:t>
            </w:r>
            <w:r w:rsidR="00F42C00">
              <w:rPr>
                <w:rFonts w:ascii="Calibri" w:eastAsia="Times New Roman" w:hAnsi="Calibri" w:cs="Times New Roman"/>
                <w:color w:val="000000"/>
                <w:sz w:val="20"/>
                <w:szCs w:val="20"/>
              </w:rPr>
              <w:t xml:space="preserve">household </w:t>
            </w:r>
            <w:r w:rsidRPr="00F84DBB">
              <w:rPr>
                <w:rFonts w:ascii="Calibri" w:eastAsia="Times New Roman" w:hAnsi="Calibri" w:cs="Times New Roman"/>
                <w:color w:val="000000"/>
                <w:sz w:val="20"/>
                <w:szCs w:val="20"/>
              </w:rPr>
              <w:t xml:space="preserve">income is </w:t>
            </w:r>
            <w:r>
              <w:rPr>
                <w:rFonts w:ascii="Calibri" w:eastAsia="Times New Roman" w:hAnsi="Calibri" w:cs="Times New Roman"/>
                <w:color w:val="000000"/>
                <w:sz w:val="20"/>
                <w:szCs w:val="20"/>
              </w:rPr>
              <w:t xml:space="preserve">at or </w:t>
            </w:r>
            <w:r w:rsidRPr="00F84DBB">
              <w:rPr>
                <w:rFonts w:ascii="Calibri" w:eastAsia="Times New Roman" w:hAnsi="Calibri" w:cs="Times New Roman"/>
                <w:color w:val="000000"/>
                <w:sz w:val="20"/>
                <w:szCs w:val="20"/>
              </w:rPr>
              <w:t>below the official poverty guidelines as provided by U.S. Departmen</w:t>
            </w:r>
            <w:r>
              <w:rPr>
                <w:rFonts w:ascii="Calibri" w:eastAsia="Times New Roman" w:hAnsi="Calibri" w:cs="Times New Roman"/>
                <w:color w:val="000000"/>
                <w:sz w:val="20"/>
                <w:szCs w:val="20"/>
              </w:rPr>
              <w:t>t of Health and Human Services</w:t>
            </w:r>
            <w:r w:rsidRPr="00F84DBB">
              <w:rPr>
                <w:rFonts w:ascii="Calibri" w:eastAsia="Times New Roman" w:hAnsi="Calibri" w:cs="Times New Roman"/>
                <w:color w:val="000000"/>
                <w:sz w:val="20"/>
                <w:szCs w:val="20"/>
              </w:rPr>
              <w:t>.</w:t>
            </w:r>
          </w:p>
        </w:tc>
      </w:tr>
      <w:tr w:rsidR="007E799D" w:rsidRPr="00F817A4" w:rsidTr="003D6BCC">
        <w:trPr>
          <w:trHeight w:hRule="exact" w:val="813"/>
          <w:tblHeader/>
        </w:trPr>
        <w:tc>
          <w:tcPr>
            <w:tcW w:w="1890" w:type="dxa"/>
            <w:shd w:val="clear" w:color="auto" w:fill="auto"/>
            <w:noWrap/>
          </w:tcPr>
          <w:p w:rsidR="007E799D" w:rsidRPr="00F817A4" w:rsidRDefault="007E799D" w:rsidP="007E799D">
            <w:pPr>
              <w:rPr>
                <w:rFonts w:ascii="Calibri" w:hAnsi="Calibri"/>
                <w:color w:val="000000"/>
                <w:sz w:val="20"/>
                <w:szCs w:val="20"/>
              </w:rPr>
            </w:pPr>
          </w:p>
        </w:tc>
        <w:tc>
          <w:tcPr>
            <w:tcW w:w="3060" w:type="dxa"/>
            <w:shd w:val="clear" w:color="auto" w:fill="auto"/>
            <w:noWrap/>
          </w:tcPr>
          <w:p w:rsidR="007E799D" w:rsidRPr="00F817A4" w:rsidRDefault="007E799D" w:rsidP="007E799D">
            <w:pPr>
              <w:rPr>
                <w:rFonts w:ascii="Calibri" w:hAnsi="Calibri"/>
                <w:color w:val="000000"/>
                <w:sz w:val="20"/>
                <w:szCs w:val="20"/>
              </w:rPr>
            </w:pPr>
            <w:r w:rsidRPr="00F817A4">
              <w:rPr>
                <w:rFonts w:ascii="Calibri" w:hAnsi="Calibri"/>
                <w:color w:val="000000"/>
                <w:sz w:val="20"/>
                <w:szCs w:val="20"/>
              </w:rPr>
              <w:t>Above Poverty</w:t>
            </w:r>
          </w:p>
        </w:tc>
        <w:tc>
          <w:tcPr>
            <w:tcW w:w="5238" w:type="dxa"/>
            <w:shd w:val="clear" w:color="auto" w:fill="auto"/>
            <w:noWrap/>
          </w:tcPr>
          <w:p w:rsidR="007E799D" w:rsidRPr="00F817A4" w:rsidRDefault="00F84DBB" w:rsidP="00F84DBB">
            <w:pPr>
              <w:spacing w:after="0" w:line="240" w:lineRule="auto"/>
              <w:rPr>
                <w:rFonts w:ascii="Calibri" w:eastAsia="Times New Roman" w:hAnsi="Calibri" w:cs="Times New Roman"/>
                <w:color w:val="000000"/>
                <w:sz w:val="20"/>
                <w:szCs w:val="20"/>
              </w:rPr>
            </w:pPr>
            <w:r w:rsidRPr="00F84DBB">
              <w:rPr>
                <w:rFonts w:ascii="Calibri" w:eastAsia="Times New Roman" w:hAnsi="Calibri" w:cs="Times New Roman"/>
                <w:color w:val="000000"/>
                <w:sz w:val="20"/>
                <w:szCs w:val="20"/>
              </w:rPr>
              <w:t xml:space="preserve">Persons considered to be </w:t>
            </w:r>
            <w:r>
              <w:rPr>
                <w:rFonts w:ascii="Calibri" w:eastAsia="Times New Roman" w:hAnsi="Calibri" w:cs="Times New Roman"/>
                <w:color w:val="000000"/>
                <w:sz w:val="20"/>
                <w:szCs w:val="20"/>
              </w:rPr>
              <w:t xml:space="preserve">above </w:t>
            </w:r>
            <w:r w:rsidRPr="00F84DBB">
              <w:rPr>
                <w:rFonts w:ascii="Calibri" w:eastAsia="Times New Roman" w:hAnsi="Calibri" w:cs="Times New Roman"/>
                <w:color w:val="000000"/>
                <w:sz w:val="20"/>
                <w:szCs w:val="20"/>
              </w:rPr>
              <w:t xml:space="preserve">poverty are those whose </w:t>
            </w:r>
            <w:r w:rsidR="00F42C00">
              <w:rPr>
                <w:rFonts w:ascii="Calibri" w:eastAsia="Times New Roman" w:hAnsi="Calibri" w:cs="Times New Roman"/>
                <w:color w:val="000000"/>
                <w:sz w:val="20"/>
                <w:szCs w:val="20"/>
              </w:rPr>
              <w:t xml:space="preserve">household </w:t>
            </w:r>
            <w:r w:rsidRPr="00F84DBB">
              <w:rPr>
                <w:rFonts w:ascii="Calibri" w:eastAsia="Times New Roman" w:hAnsi="Calibri" w:cs="Times New Roman"/>
                <w:color w:val="000000"/>
                <w:sz w:val="20"/>
                <w:szCs w:val="20"/>
              </w:rPr>
              <w:t xml:space="preserve">income is </w:t>
            </w:r>
            <w:r>
              <w:rPr>
                <w:rFonts w:ascii="Calibri" w:eastAsia="Times New Roman" w:hAnsi="Calibri" w:cs="Times New Roman"/>
                <w:color w:val="000000"/>
                <w:sz w:val="20"/>
                <w:szCs w:val="20"/>
              </w:rPr>
              <w:t>above</w:t>
            </w:r>
            <w:r w:rsidRPr="00F84DBB">
              <w:rPr>
                <w:rFonts w:ascii="Calibri" w:eastAsia="Times New Roman" w:hAnsi="Calibri" w:cs="Times New Roman"/>
                <w:color w:val="000000"/>
                <w:sz w:val="20"/>
                <w:szCs w:val="20"/>
              </w:rPr>
              <w:t xml:space="preserve"> the official poverty guidelines as provided by U.S. Departmen</w:t>
            </w:r>
            <w:r>
              <w:rPr>
                <w:rFonts w:ascii="Calibri" w:eastAsia="Times New Roman" w:hAnsi="Calibri" w:cs="Times New Roman"/>
                <w:color w:val="000000"/>
                <w:sz w:val="20"/>
                <w:szCs w:val="20"/>
              </w:rPr>
              <w:t>t of Health and Human Services</w:t>
            </w:r>
            <w:r w:rsidRPr="00F84DBB">
              <w:rPr>
                <w:rFonts w:ascii="Calibri" w:eastAsia="Times New Roman" w:hAnsi="Calibri" w:cs="Times New Roman"/>
                <w:color w:val="000000"/>
                <w:sz w:val="20"/>
                <w:szCs w:val="20"/>
              </w:rPr>
              <w:t>.</w:t>
            </w:r>
          </w:p>
        </w:tc>
      </w:tr>
    </w:tbl>
    <w:p w:rsidR="003D6BCC" w:rsidRDefault="003D6BCC"/>
    <w:p w:rsidR="003D6BCC" w:rsidRDefault="003D6BCC" w:rsidP="003D6BCC">
      <w:pPr>
        <w:spacing w:after="0" w:line="240" w:lineRule="auto"/>
        <w:rPr>
          <w:rFonts w:ascii="Calibri" w:eastAsia="Times New Roman" w:hAnsi="Calibri" w:cs="Times New Roman"/>
          <w:color w:val="000000"/>
          <w:sz w:val="20"/>
          <w:szCs w:val="20"/>
        </w:rPr>
        <w:sectPr w:rsidR="003D6BCC" w:rsidSect="003D6BCC">
          <w:type w:val="continuous"/>
          <w:pgSz w:w="12240" w:h="15840"/>
          <w:pgMar w:top="1152" w:right="1080" w:bottom="1152" w:left="1080" w:header="720" w:footer="720" w:gutter="0"/>
          <w:cols w:space="720"/>
          <w:docGrid w:linePitch="360"/>
        </w:sectPr>
      </w:pPr>
    </w:p>
    <w:tbl>
      <w:tblPr>
        <w:tblW w:w="101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90"/>
        <w:gridCol w:w="3060"/>
        <w:gridCol w:w="5238"/>
      </w:tblGrid>
      <w:tr w:rsidR="003D6BCC" w:rsidRPr="00F817A4" w:rsidTr="003D6BCC">
        <w:trPr>
          <w:trHeight w:hRule="exact" w:val="288"/>
          <w:tblHeader/>
        </w:trPr>
        <w:tc>
          <w:tcPr>
            <w:tcW w:w="1890" w:type="dxa"/>
            <w:shd w:val="clear" w:color="auto" w:fill="auto"/>
            <w:noWrap/>
            <w:hideMark/>
          </w:tcPr>
          <w:p w:rsidR="003D6BCC" w:rsidRPr="008A71E1" w:rsidRDefault="003D6BCC" w:rsidP="003D6BCC">
            <w:pPr>
              <w:spacing w:after="0" w:line="240" w:lineRule="auto"/>
              <w:rPr>
                <w:rFonts w:ascii="Calibri" w:eastAsia="Times New Roman" w:hAnsi="Calibri" w:cs="Times New Roman"/>
                <w:color w:val="000000"/>
                <w:sz w:val="20"/>
                <w:szCs w:val="20"/>
              </w:rPr>
            </w:pPr>
            <w:r w:rsidRPr="00F817A4">
              <w:rPr>
                <w:rFonts w:ascii="Calibri" w:eastAsia="Times New Roman" w:hAnsi="Calibri" w:cs="Times New Roman"/>
                <w:color w:val="000000"/>
                <w:sz w:val="20"/>
                <w:szCs w:val="20"/>
              </w:rPr>
              <w:lastRenderedPageBreak/>
              <w:t xml:space="preserve">Data </w:t>
            </w:r>
            <w:r w:rsidRPr="008A71E1">
              <w:rPr>
                <w:rFonts w:ascii="Calibri" w:eastAsia="Times New Roman" w:hAnsi="Calibri" w:cs="Times New Roman"/>
                <w:color w:val="000000"/>
                <w:sz w:val="20"/>
                <w:szCs w:val="20"/>
              </w:rPr>
              <w:t>Element</w:t>
            </w:r>
          </w:p>
        </w:tc>
        <w:tc>
          <w:tcPr>
            <w:tcW w:w="3060" w:type="dxa"/>
            <w:shd w:val="clear" w:color="auto" w:fill="auto"/>
            <w:noWrap/>
            <w:hideMark/>
          </w:tcPr>
          <w:p w:rsidR="003D6BCC" w:rsidRPr="008A71E1" w:rsidRDefault="003D6BCC" w:rsidP="003D6BCC">
            <w:pPr>
              <w:spacing w:after="0" w:line="240" w:lineRule="auto"/>
              <w:rPr>
                <w:rFonts w:ascii="Calibri" w:eastAsia="Times New Roman" w:hAnsi="Calibri" w:cs="Times New Roman"/>
                <w:color w:val="000000"/>
                <w:sz w:val="20"/>
                <w:szCs w:val="20"/>
              </w:rPr>
            </w:pPr>
            <w:r w:rsidRPr="008A71E1">
              <w:rPr>
                <w:rFonts w:ascii="Calibri" w:eastAsia="Times New Roman" w:hAnsi="Calibri" w:cs="Times New Roman"/>
                <w:color w:val="000000"/>
                <w:sz w:val="20"/>
                <w:szCs w:val="20"/>
              </w:rPr>
              <w:t>Value</w:t>
            </w:r>
          </w:p>
        </w:tc>
        <w:tc>
          <w:tcPr>
            <w:tcW w:w="5238" w:type="dxa"/>
            <w:shd w:val="clear" w:color="auto" w:fill="auto"/>
            <w:noWrap/>
            <w:hideMark/>
          </w:tcPr>
          <w:p w:rsidR="003D6BCC" w:rsidRPr="008A71E1" w:rsidRDefault="003D6BCC" w:rsidP="003D6BCC">
            <w:pPr>
              <w:spacing w:after="0" w:line="240" w:lineRule="auto"/>
              <w:rPr>
                <w:rFonts w:ascii="Calibri" w:eastAsia="Times New Roman" w:hAnsi="Calibri" w:cs="Times New Roman"/>
                <w:color w:val="000000"/>
                <w:sz w:val="20"/>
                <w:szCs w:val="20"/>
              </w:rPr>
            </w:pPr>
            <w:r w:rsidRPr="008A71E1">
              <w:rPr>
                <w:rFonts w:ascii="Calibri" w:eastAsia="Times New Roman" w:hAnsi="Calibri" w:cs="Times New Roman"/>
                <w:color w:val="000000"/>
                <w:sz w:val="20"/>
                <w:szCs w:val="20"/>
              </w:rPr>
              <w:t>Definition</w:t>
            </w:r>
          </w:p>
        </w:tc>
      </w:tr>
      <w:tr w:rsidR="007E799D" w:rsidRPr="00F817A4" w:rsidTr="003D6BCC">
        <w:trPr>
          <w:trHeight w:hRule="exact" w:val="2613"/>
          <w:tblHeader/>
        </w:trPr>
        <w:tc>
          <w:tcPr>
            <w:tcW w:w="1890" w:type="dxa"/>
            <w:shd w:val="clear" w:color="auto" w:fill="auto"/>
            <w:noWrap/>
          </w:tcPr>
          <w:p w:rsidR="007E799D" w:rsidRPr="00F817A4" w:rsidRDefault="007E799D" w:rsidP="007E799D">
            <w:pPr>
              <w:rPr>
                <w:rFonts w:ascii="Calibri" w:hAnsi="Calibri"/>
                <w:color w:val="000000"/>
                <w:sz w:val="20"/>
                <w:szCs w:val="20"/>
              </w:rPr>
            </w:pPr>
            <w:r w:rsidRPr="00F817A4">
              <w:rPr>
                <w:rFonts w:ascii="Calibri" w:hAnsi="Calibri"/>
                <w:color w:val="000000"/>
                <w:sz w:val="20"/>
                <w:szCs w:val="20"/>
              </w:rPr>
              <w:t>Household Status</w:t>
            </w:r>
          </w:p>
        </w:tc>
        <w:tc>
          <w:tcPr>
            <w:tcW w:w="3060" w:type="dxa"/>
            <w:shd w:val="clear" w:color="auto" w:fill="auto"/>
            <w:noWrap/>
          </w:tcPr>
          <w:p w:rsidR="007E799D" w:rsidRPr="00F817A4" w:rsidRDefault="007E799D" w:rsidP="007E799D">
            <w:pPr>
              <w:spacing w:after="0" w:line="240" w:lineRule="auto"/>
              <w:rPr>
                <w:rFonts w:ascii="Calibri" w:eastAsia="Times New Roman" w:hAnsi="Calibri" w:cs="Times New Roman"/>
                <w:color w:val="000000"/>
                <w:sz w:val="20"/>
                <w:szCs w:val="20"/>
              </w:rPr>
            </w:pPr>
          </w:p>
        </w:tc>
        <w:tc>
          <w:tcPr>
            <w:tcW w:w="5238" w:type="dxa"/>
            <w:shd w:val="clear" w:color="auto" w:fill="auto"/>
            <w:noWrap/>
          </w:tcPr>
          <w:p w:rsidR="00E4432D" w:rsidRPr="00E4432D" w:rsidRDefault="00E4432D" w:rsidP="00E4432D">
            <w:pPr>
              <w:spacing w:after="0" w:line="240" w:lineRule="auto"/>
              <w:rPr>
                <w:rFonts w:ascii="Calibri" w:eastAsia="Times New Roman" w:hAnsi="Calibri" w:cs="Times New Roman"/>
                <w:color w:val="000000"/>
                <w:sz w:val="20"/>
                <w:szCs w:val="20"/>
              </w:rPr>
            </w:pPr>
            <w:r w:rsidRPr="00E4432D">
              <w:rPr>
                <w:rFonts w:ascii="Calibri" w:eastAsia="Times New Roman" w:hAnsi="Calibri" w:cs="Times New Roman"/>
                <w:color w:val="000000"/>
                <w:sz w:val="20"/>
                <w:szCs w:val="20"/>
              </w:rPr>
              <w:t>A household includes all the people who occupy a housing unit (such as a house or apartment) as their usual place of residence.</w:t>
            </w:r>
          </w:p>
          <w:p w:rsidR="00E4432D" w:rsidRPr="00E4432D" w:rsidRDefault="00E4432D" w:rsidP="00E4432D">
            <w:pPr>
              <w:spacing w:after="0" w:line="240" w:lineRule="auto"/>
              <w:rPr>
                <w:rFonts w:ascii="Calibri" w:eastAsia="Times New Roman" w:hAnsi="Calibri" w:cs="Times New Roman"/>
                <w:color w:val="000000"/>
                <w:sz w:val="20"/>
                <w:szCs w:val="20"/>
              </w:rPr>
            </w:pPr>
          </w:p>
          <w:p w:rsidR="007E799D" w:rsidRPr="00F817A4" w:rsidRDefault="00E4432D" w:rsidP="00E4432D">
            <w:pPr>
              <w:spacing w:after="0" w:line="240" w:lineRule="auto"/>
              <w:rPr>
                <w:rFonts w:ascii="Calibri" w:eastAsia="Times New Roman" w:hAnsi="Calibri" w:cs="Times New Roman"/>
                <w:color w:val="000000"/>
                <w:sz w:val="20"/>
                <w:szCs w:val="20"/>
              </w:rPr>
            </w:pPr>
            <w:r w:rsidRPr="00E4432D">
              <w:rPr>
                <w:rFonts w:ascii="Calibri" w:eastAsia="Times New Roman" w:hAnsi="Calibri" w:cs="Times New Roman"/>
                <w:color w:val="000000"/>
                <w:sz w:val="20"/>
                <w:szCs w:val="20"/>
              </w:rPr>
              <w:t>A household includes the related family members and all the unrelated people, if any, such as lodgers, foster children, wards, or employees who share the housing unit. A person living alone in a housing unit, or a group of unrelated people sharing a housing unit such as partners or roomers, is also counted as a household</w:t>
            </w:r>
            <w:r>
              <w:rPr>
                <w:rFonts w:ascii="Calibri" w:eastAsia="Times New Roman" w:hAnsi="Calibri" w:cs="Times New Roman"/>
                <w:color w:val="000000"/>
                <w:sz w:val="20"/>
                <w:szCs w:val="20"/>
              </w:rPr>
              <w:t>. (</w:t>
            </w:r>
            <w:r w:rsidR="00A96493">
              <w:rPr>
                <w:rFonts w:ascii="Calibri" w:eastAsia="Times New Roman" w:hAnsi="Calibri" w:cs="Times New Roman"/>
                <w:color w:val="000000"/>
                <w:sz w:val="20"/>
                <w:szCs w:val="20"/>
              </w:rPr>
              <w:t xml:space="preserve">Source: </w:t>
            </w:r>
            <w:r>
              <w:rPr>
                <w:rFonts w:ascii="Calibri" w:eastAsia="Times New Roman" w:hAnsi="Calibri" w:cs="Times New Roman"/>
                <w:color w:val="000000"/>
                <w:sz w:val="20"/>
                <w:szCs w:val="20"/>
              </w:rPr>
              <w:t>U.S. Census Bureau)</w:t>
            </w:r>
          </w:p>
        </w:tc>
      </w:tr>
      <w:tr w:rsidR="007E799D" w:rsidRPr="00F817A4" w:rsidTr="003D6BCC">
        <w:trPr>
          <w:trHeight w:hRule="exact" w:val="1074"/>
          <w:tblHeader/>
        </w:trPr>
        <w:tc>
          <w:tcPr>
            <w:tcW w:w="1890" w:type="dxa"/>
            <w:shd w:val="clear" w:color="auto" w:fill="auto"/>
            <w:noWrap/>
          </w:tcPr>
          <w:p w:rsidR="007E799D" w:rsidRPr="00F817A4" w:rsidRDefault="007E799D" w:rsidP="007E799D">
            <w:pPr>
              <w:rPr>
                <w:rFonts w:ascii="Calibri" w:hAnsi="Calibri"/>
                <w:color w:val="000000"/>
                <w:sz w:val="20"/>
                <w:szCs w:val="20"/>
              </w:rPr>
            </w:pPr>
          </w:p>
        </w:tc>
        <w:tc>
          <w:tcPr>
            <w:tcW w:w="3060" w:type="dxa"/>
            <w:shd w:val="clear" w:color="auto" w:fill="auto"/>
            <w:noWrap/>
          </w:tcPr>
          <w:p w:rsidR="007E799D" w:rsidRPr="00F817A4" w:rsidRDefault="007E799D" w:rsidP="007E799D">
            <w:pPr>
              <w:rPr>
                <w:rFonts w:ascii="Calibri" w:hAnsi="Calibri"/>
                <w:color w:val="000000"/>
                <w:sz w:val="20"/>
                <w:szCs w:val="20"/>
              </w:rPr>
            </w:pPr>
            <w:r w:rsidRPr="00F817A4">
              <w:rPr>
                <w:rFonts w:ascii="Calibri" w:hAnsi="Calibri"/>
                <w:color w:val="000000"/>
                <w:sz w:val="20"/>
                <w:szCs w:val="20"/>
              </w:rPr>
              <w:t>Lives Alone</w:t>
            </w:r>
          </w:p>
        </w:tc>
        <w:tc>
          <w:tcPr>
            <w:tcW w:w="5238" w:type="dxa"/>
            <w:shd w:val="clear" w:color="auto" w:fill="auto"/>
            <w:noWrap/>
          </w:tcPr>
          <w:p w:rsidR="007E799D" w:rsidRPr="00F817A4" w:rsidRDefault="00F42C00" w:rsidP="007E799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A one person household. </w:t>
            </w:r>
            <w:r w:rsidR="00E4432D">
              <w:rPr>
                <w:rFonts w:ascii="Calibri" w:eastAsia="Times New Roman" w:hAnsi="Calibri" w:cs="Times New Roman"/>
                <w:color w:val="000000"/>
                <w:sz w:val="20"/>
                <w:szCs w:val="20"/>
              </w:rPr>
              <w:t>An individual who occupies a housing unit as their usual place of residence and no other person occupies the housing unit as a usual place of residence.</w:t>
            </w:r>
          </w:p>
        </w:tc>
      </w:tr>
      <w:tr w:rsidR="007E799D" w:rsidRPr="00F817A4" w:rsidTr="003D6BCC">
        <w:trPr>
          <w:trHeight w:hRule="exact" w:val="1074"/>
          <w:tblHeader/>
        </w:trPr>
        <w:tc>
          <w:tcPr>
            <w:tcW w:w="1890" w:type="dxa"/>
            <w:shd w:val="clear" w:color="auto" w:fill="auto"/>
            <w:noWrap/>
          </w:tcPr>
          <w:p w:rsidR="007E799D" w:rsidRPr="00F817A4" w:rsidRDefault="007E799D" w:rsidP="007E799D">
            <w:pPr>
              <w:rPr>
                <w:rFonts w:ascii="Calibri" w:hAnsi="Calibri"/>
                <w:color w:val="000000"/>
                <w:sz w:val="20"/>
                <w:szCs w:val="20"/>
              </w:rPr>
            </w:pPr>
          </w:p>
        </w:tc>
        <w:tc>
          <w:tcPr>
            <w:tcW w:w="3060" w:type="dxa"/>
            <w:shd w:val="clear" w:color="auto" w:fill="auto"/>
            <w:noWrap/>
          </w:tcPr>
          <w:p w:rsidR="007E799D" w:rsidRPr="00F817A4" w:rsidRDefault="007E799D" w:rsidP="007E799D">
            <w:pPr>
              <w:rPr>
                <w:rFonts w:ascii="Calibri" w:hAnsi="Calibri"/>
                <w:color w:val="000000"/>
                <w:sz w:val="20"/>
                <w:szCs w:val="20"/>
              </w:rPr>
            </w:pPr>
            <w:r w:rsidRPr="00F817A4">
              <w:rPr>
                <w:rFonts w:ascii="Calibri" w:hAnsi="Calibri"/>
                <w:color w:val="000000"/>
                <w:sz w:val="20"/>
                <w:szCs w:val="20"/>
              </w:rPr>
              <w:t>Lives with Others</w:t>
            </w:r>
          </w:p>
        </w:tc>
        <w:tc>
          <w:tcPr>
            <w:tcW w:w="5238" w:type="dxa"/>
            <w:shd w:val="clear" w:color="auto" w:fill="auto"/>
            <w:noWrap/>
          </w:tcPr>
          <w:p w:rsidR="007E799D" w:rsidRPr="00F817A4" w:rsidRDefault="00F42C00" w:rsidP="007E799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 multi-person household.  An individual who occupies a housing unit as their usual place of residence with other persons (related and unrelated) who occupy the housing unit as their usual place of residence.</w:t>
            </w:r>
          </w:p>
        </w:tc>
      </w:tr>
      <w:tr w:rsidR="007E799D" w:rsidRPr="00F817A4" w:rsidTr="003D6BCC">
        <w:trPr>
          <w:trHeight w:hRule="exact" w:val="813"/>
          <w:tblHeader/>
        </w:trPr>
        <w:tc>
          <w:tcPr>
            <w:tcW w:w="1890" w:type="dxa"/>
            <w:shd w:val="clear" w:color="auto" w:fill="auto"/>
            <w:noWrap/>
          </w:tcPr>
          <w:p w:rsidR="007E799D" w:rsidRPr="00F817A4" w:rsidRDefault="007E799D" w:rsidP="007E799D">
            <w:pPr>
              <w:rPr>
                <w:rFonts w:ascii="Calibri" w:hAnsi="Calibri"/>
                <w:color w:val="000000"/>
                <w:sz w:val="20"/>
                <w:szCs w:val="20"/>
              </w:rPr>
            </w:pPr>
            <w:r w:rsidRPr="00F817A4">
              <w:rPr>
                <w:rFonts w:ascii="Calibri" w:hAnsi="Calibri"/>
                <w:color w:val="000000"/>
                <w:sz w:val="20"/>
                <w:szCs w:val="20"/>
              </w:rPr>
              <w:t>Ethnicity</w:t>
            </w:r>
          </w:p>
        </w:tc>
        <w:tc>
          <w:tcPr>
            <w:tcW w:w="3060" w:type="dxa"/>
            <w:shd w:val="clear" w:color="auto" w:fill="auto"/>
            <w:noWrap/>
          </w:tcPr>
          <w:p w:rsidR="007E799D" w:rsidRPr="00F817A4" w:rsidRDefault="007E799D" w:rsidP="007E799D">
            <w:pPr>
              <w:spacing w:after="0" w:line="240" w:lineRule="auto"/>
              <w:rPr>
                <w:rFonts w:ascii="Calibri" w:eastAsia="Times New Roman" w:hAnsi="Calibri" w:cs="Times New Roman"/>
                <w:color w:val="000000"/>
                <w:sz w:val="20"/>
                <w:szCs w:val="20"/>
              </w:rPr>
            </w:pPr>
          </w:p>
        </w:tc>
        <w:tc>
          <w:tcPr>
            <w:tcW w:w="5238" w:type="dxa"/>
            <w:shd w:val="clear" w:color="auto" w:fill="auto"/>
            <w:noWrap/>
          </w:tcPr>
          <w:p w:rsidR="007E799D" w:rsidRPr="00F817A4" w:rsidRDefault="00BA2CD6" w:rsidP="007E799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Self-identification o</w:t>
            </w:r>
            <w:r w:rsidRPr="00975EC5">
              <w:rPr>
                <w:rFonts w:ascii="Calibri" w:eastAsia="Times New Roman" w:hAnsi="Calibri" w:cs="Times New Roman"/>
                <w:color w:val="000000"/>
                <w:sz w:val="20"/>
                <w:szCs w:val="20"/>
              </w:rPr>
              <w:t>f Cuban, Mexican, Puerto Rican, Sout</w:t>
            </w:r>
            <w:r>
              <w:rPr>
                <w:rFonts w:ascii="Calibri" w:eastAsia="Times New Roman" w:hAnsi="Calibri" w:cs="Times New Roman"/>
                <w:color w:val="000000"/>
                <w:sz w:val="20"/>
                <w:szCs w:val="20"/>
              </w:rPr>
              <w:t xml:space="preserve">h or Central American, or other </w:t>
            </w:r>
            <w:r w:rsidRPr="00975EC5">
              <w:rPr>
                <w:rFonts w:ascii="Calibri" w:eastAsia="Times New Roman" w:hAnsi="Calibri" w:cs="Times New Roman"/>
                <w:color w:val="000000"/>
                <w:sz w:val="20"/>
                <w:szCs w:val="20"/>
              </w:rPr>
              <w:t>Spanish culture or origin</w:t>
            </w:r>
            <w:r>
              <w:rPr>
                <w:rFonts w:ascii="Calibri" w:eastAsia="Times New Roman" w:hAnsi="Calibri" w:cs="Times New Roman"/>
                <w:color w:val="000000"/>
                <w:sz w:val="20"/>
                <w:szCs w:val="20"/>
              </w:rPr>
              <w:t xml:space="preserve"> </w:t>
            </w:r>
            <w:r w:rsidR="00A96493">
              <w:rPr>
                <w:rFonts w:ascii="Calibri" w:eastAsia="Times New Roman" w:hAnsi="Calibri" w:cs="Times New Roman"/>
                <w:color w:val="000000"/>
                <w:sz w:val="20"/>
                <w:szCs w:val="20"/>
              </w:rPr>
              <w:t>(Source: OMB)</w:t>
            </w:r>
          </w:p>
        </w:tc>
      </w:tr>
      <w:tr w:rsidR="007E799D" w:rsidRPr="00F817A4" w:rsidTr="003D6BCC">
        <w:trPr>
          <w:trHeight w:hRule="exact" w:val="516"/>
          <w:tblHeader/>
        </w:trPr>
        <w:tc>
          <w:tcPr>
            <w:tcW w:w="1890" w:type="dxa"/>
            <w:shd w:val="clear" w:color="auto" w:fill="auto"/>
            <w:noWrap/>
          </w:tcPr>
          <w:p w:rsidR="007E799D" w:rsidRPr="00F817A4" w:rsidRDefault="007E799D" w:rsidP="007E799D">
            <w:pPr>
              <w:rPr>
                <w:rFonts w:ascii="Calibri" w:hAnsi="Calibri"/>
                <w:color w:val="000000"/>
                <w:sz w:val="20"/>
                <w:szCs w:val="20"/>
              </w:rPr>
            </w:pPr>
          </w:p>
        </w:tc>
        <w:tc>
          <w:tcPr>
            <w:tcW w:w="3060" w:type="dxa"/>
            <w:shd w:val="clear" w:color="auto" w:fill="auto"/>
            <w:noWrap/>
          </w:tcPr>
          <w:p w:rsidR="007E799D" w:rsidRPr="00F817A4" w:rsidRDefault="007E799D" w:rsidP="007E799D">
            <w:pPr>
              <w:rPr>
                <w:rFonts w:ascii="Calibri" w:hAnsi="Calibri"/>
                <w:color w:val="000000"/>
                <w:sz w:val="20"/>
                <w:szCs w:val="20"/>
              </w:rPr>
            </w:pPr>
            <w:r w:rsidRPr="00F817A4">
              <w:rPr>
                <w:rFonts w:ascii="Calibri" w:hAnsi="Calibri"/>
                <w:color w:val="000000"/>
                <w:sz w:val="20"/>
                <w:szCs w:val="20"/>
              </w:rPr>
              <w:t>Hispanic or Latino</w:t>
            </w:r>
          </w:p>
        </w:tc>
        <w:tc>
          <w:tcPr>
            <w:tcW w:w="5238" w:type="dxa"/>
            <w:shd w:val="clear" w:color="auto" w:fill="auto"/>
            <w:noWrap/>
          </w:tcPr>
          <w:p w:rsidR="007E799D" w:rsidRPr="00F817A4" w:rsidRDefault="00975EC5" w:rsidP="00975EC5">
            <w:pPr>
              <w:spacing w:after="0" w:line="240" w:lineRule="auto"/>
              <w:rPr>
                <w:rFonts w:ascii="Calibri" w:eastAsia="Times New Roman" w:hAnsi="Calibri" w:cs="Times New Roman"/>
                <w:color w:val="000000"/>
                <w:sz w:val="20"/>
                <w:szCs w:val="20"/>
              </w:rPr>
            </w:pPr>
            <w:r w:rsidRPr="00975EC5">
              <w:rPr>
                <w:rFonts w:ascii="Calibri" w:eastAsia="Times New Roman" w:hAnsi="Calibri" w:cs="Times New Roman"/>
                <w:color w:val="000000"/>
                <w:sz w:val="20"/>
                <w:szCs w:val="20"/>
              </w:rPr>
              <w:t>Of Cuban, Mexican, Puerto Rican, Sout</w:t>
            </w:r>
            <w:r>
              <w:rPr>
                <w:rFonts w:ascii="Calibri" w:eastAsia="Times New Roman" w:hAnsi="Calibri" w:cs="Times New Roman"/>
                <w:color w:val="000000"/>
                <w:sz w:val="20"/>
                <w:szCs w:val="20"/>
              </w:rPr>
              <w:t xml:space="preserve">h or Central American, or other </w:t>
            </w:r>
            <w:r w:rsidRPr="00975EC5">
              <w:rPr>
                <w:rFonts w:ascii="Calibri" w:eastAsia="Times New Roman" w:hAnsi="Calibri" w:cs="Times New Roman"/>
                <w:color w:val="000000"/>
                <w:sz w:val="20"/>
                <w:szCs w:val="20"/>
              </w:rPr>
              <w:t>Spanish culture or origin, regardless of race</w:t>
            </w:r>
          </w:p>
        </w:tc>
      </w:tr>
      <w:tr w:rsidR="007E799D" w:rsidRPr="00F817A4" w:rsidTr="003D6BCC">
        <w:trPr>
          <w:trHeight w:hRule="exact" w:val="813"/>
          <w:tblHeader/>
        </w:trPr>
        <w:tc>
          <w:tcPr>
            <w:tcW w:w="1890" w:type="dxa"/>
            <w:shd w:val="clear" w:color="auto" w:fill="auto"/>
            <w:noWrap/>
          </w:tcPr>
          <w:p w:rsidR="007E799D" w:rsidRPr="00F817A4" w:rsidRDefault="007E799D" w:rsidP="007E799D">
            <w:pPr>
              <w:rPr>
                <w:rFonts w:ascii="Calibri" w:hAnsi="Calibri"/>
                <w:color w:val="000000"/>
                <w:sz w:val="20"/>
                <w:szCs w:val="20"/>
              </w:rPr>
            </w:pPr>
          </w:p>
        </w:tc>
        <w:tc>
          <w:tcPr>
            <w:tcW w:w="3060" w:type="dxa"/>
            <w:shd w:val="clear" w:color="auto" w:fill="auto"/>
            <w:noWrap/>
          </w:tcPr>
          <w:p w:rsidR="007E799D" w:rsidRPr="00F817A4" w:rsidRDefault="007E799D" w:rsidP="007E799D">
            <w:pPr>
              <w:rPr>
                <w:rFonts w:ascii="Calibri" w:hAnsi="Calibri"/>
                <w:color w:val="000000"/>
                <w:sz w:val="20"/>
                <w:szCs w:val="20"/>
              </w:rPr>
            </w:pPr>
            <w:r w:rsidRPr="00F817A4">
              <w:rPr>
                <w:rFonts w:ascii="Calibri" w:hAnsi="Calibri"/>
                <w:color w:val="000000"/>
                <w:sz w:val="20"/>
                <w:szCs w:val="20"/>
              </w:rPr>
              <w:t>Not Hispanic or Latino</w:t>
            </w:r>
          </w:p>
        </w:tc>
        <w:tc>
          <w:tcPr>
            <w:tcW w:w="5238" w:type="dxa"/>
            <w:shd w:val="clear" w:color="auto" w:fill="auto"/>
            <w:noWrap/>
          </w:tcPr>
          <w:p w:rsidR="007E799D" w:rsidRPr="00F817A4" w:rsidRDefault="00975EC5" w:rsidP="007E799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Not o</w:t>
            </w:r>
            <w:r w:rsidRPr="00975EC5">
              <w:rPr>
                <w:rFonts w:ascii="Calibri" w:eastAsia="Times New Roman" w:hAnsi="Calibri" w:cs="Times New Roman"/>
                <w:color w:val="000000"/>
                <w:sz w:val="20"/>
                <w:szCs w:val="20"/>
              </w:rPr>
              <w:t>f Cuban, Mexican, Puerto Rican, Sout</w:t>
            </w:r>
            <w:r>
              <w:rPr>
                <w:rFonts w:ascii="Calibri" w:eastAsia="Times New Roman" w:hAnsi="Calibri" w:cs="Times New Roman"/>
                <w:color w:val="000000"/>
                <w:sz w:val="20"/>
                <w:szCs w:val="20"/>
              </w:rPr>
              <w:t xml:space="preserve">h or Central American, or other </w:t>
            </w:r>
            <w:r w:rsidRPr="00975EC5">
              <w:rPr>
                <w:rFonts w:ascii="Calibri" w:eastAsia="Times New Roman" w:hAnsi="Calibri" w:cs="Times New Roman"/>
                <w:color w:val="000000"/>
                <w:sz w:val="20"/>
                <w:szCs w:val="20"/>
              </w:rPr>
              <w:t>Spanish culture or origin, regardless of race</w:t>
            </w:r>
          </w:p>
        </w:tc>
      </w:tr>
      <w:tr w:rsidR="007E799D" w:rsidRPr="00F817A4" w:rsidTr="003D6BCC">
        <w:trPr>
          <w:trHeight w:hRule="exact" w:val="552"/>
          <w:tblHeader/>
        </w:trPr>
        <w:tc>
          <w:tcPr>
            <w:tcW w:w="1890" w:type="dxa"/>
            <w:shd w:val="clear" w:color="auto" w:fill="auto"/>
            <w:noWrap/>
          </w:tcPr>
          <w:p w:rsidR="007E799D" w:rsidRPr="00F817A4" w:rsidRDefault="007E799D" w:rsidP="007E799D">
            <w:pPr>
              <w:rPr>
                <w:rFonts w:ascii="Calibri" w:hAnsi="Calibri"/>
                <w:color w:val="000000"/>
                <w:sz w:val="20"/>
                <w:szCs w:val="20"/>
              </w:rPr>
            </w:pPr>
            <w:r w:rsidRPr="00F817A4">
              <w:rPr>
                <w:rFonts w:ascii="Calibri" w:hAnsi="Calibri"/>
                <w:color w:val="000000"/>
                <w:sz w:val="20"/>
                <w:szCs w:val="20"/>
              </w:rPr>
              <w:t>Race</w:t>
            </w:r>
          </w:p>
        </w:tc>
        <w:tc>
          <w:tcPr>
            <w:tcW w:w="3060" w:type="dxa"/>
            <w:shd w:val="clear" w:color="auto" w:fill="auto"/>
            <w:noWrap/>
          </w:tcPr>
          <w:p w:rsidR="007E799D" w:rsidRPr="00F817A4" w:rsidRDefault="007E799D" w:rsidP="007E799D">
            <w:pPr>
              <w:spacing w:after="0" w:line="240" w:lineRule="auto"/>
              <w:rPr>
                <w:rFonts w:ascii="Calibri" w:eastAsia="Times New Roman" w:hAnsi="Calibri" w:cs="Times New Roman"/>
                <w:color w:val="000000"/>
                <w:sz w:val="20"/>
                <w:szCs w:val="20"/>
              </w:rPr>
            </w:pPr>
          </w:p>
        </w:tc>
        <w:tc>
          <w:tcPr>
            <w:tcW w:w="5238" w:type="dxa"/>
            <w:shd w:val="clear" w:color="auto" w:fill="auto"/>
            <w:noWrap/>
          </w:tcPr>
          <w:p w:rsidR="007E799D" w:rsidRPr="00F817A4" w:rsidRDefault="00BA2CD6" w:rsidP="007E799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Self-identification with a </w:t>
            </w:r>
            <w:r w:rsidR="00C73E75">
              <w:rPr>
                <w:rFonts w:ascii="Calibri" w:eastAsia="Times New Roman" w:hAnsi="Calibri" w:cs="Times New Roman"/>
                <w:color w:val="000000"/>
                <w:sz w:val="20"/>
                <w:szCs w:val="20"/>
              </w:rPr>
              <w:t xml:space="preserve">national origin or sociocultural group </w:t>
            </w:r>
            <w:r w:rsidR="00A96493">
              <w:rPr>
                <w:rFonts w:ascii="Calibri" w:eastAsia="Times New Roman" w:hAnsi="Calibri" w:cs="Times New Roman"/>
                <w:color w:val="000000"/>
                <w:sz w:val="20"/>
                <w:szCs w:val="20"/>
              </w:rPr>
              <w:t xml:space="preserve">(Source: </w:t>
            </w:r>
            <w:r w:rsidR="00C73E75">
              <w:rPr>
                <w:rFonts w:ascii="Calibri" w:eastAsia="Times New Roman" w:hAnsi="Calibri" w:cs="Times New Roman"/>
                <w:color w:val="000000"/>
                <w:sz w:val="20"/>
                <w:szCs w:val="20"/>
              </w:rPr>
              <w:t>US Census Bureau/</w:t>
            </w:r>
            <w:r w:rsidR="00A96493">
              <w:rPr>
                <w:rFonts w:ascii="Calibri" w:eastAsia="Times New Roman" w:hAnsi="Calibri" w:cs="Times New Roman"/>
                <w:color w:val="000000"/>
                <w:sz w:val="20"/>
                <w:szCs w:val="20"/>
              </w:rPr>
              <w:t>OMB)</w:t>
            </w:r>
          </w:p>
        </w:tc>
      </w:tr>
      <w:tr w:rsidR="007E799D" w:rsidRPr="00F817A4" w:rsidTr="003D6BCC">
        <w:trPr>
          <w:trHeight w:hRule="exact" w:val="741"/>
          <w:tblHeader/>
        </w:trPr>
        <w:tc>
          <w:tcPr>
            <w:tcW w:w="1890" w:type="dxa"/>
            <w:shd w:val="clear" w:color="auto" w:fill="auto"/>
            <w:noWrap/>
          </w:tcPr>
          <w:p w:rsidR="007E799D" w:rsidRPr="00F817A4" w:rsidRDefault="007E799D" w:rsidP="007E799D">
            <w:pPr>
              <w:rPr>
                <w:rFonts w:ascii="Calibri" w:hAnsi="Calibri"/>
                <w:color w:val="000000"/>
                <w:sz w:val="20"/>
                <w:szCs w:val="20"/>
              </w:rPr>
            </w:pPr>
          </w:p>
        </w:tc>
        <w:tc>
          <w:tcPr>
            <w:tcW w:w="3060" w:type="dxa"/>
            <w:shd w:val="clear" w:color="auto" w:fill="auto"/>
            <w:noWrap/>
          </w:tcPr>
          <w:p w:rsidR="007E799D" w:rsidRPr="00F817A4" w:rsidRDefault="007E799D" w:rsidP="007E799D">
            <w:pPr>
              <w:rPr>
                <w:rFonts w:ascii="Calibri" w:hAnsi="Calibri"/>
                <w:color w:val="000000"/>
                <w:sz w:val="20"/>
                <w:szCs w:val="20"/>
              </w:rPr>
            </w:pPr>
            <w:r w:rsidRPr="00F817A4">
              <w:rPr>
                <w:rFonts w:ascii="Calibri" w:hAnsi="Calibri"/>
                <w:color w:val="000000"/>
                <w:sz w:val="20"/>
                <w:szCs w:val="20"/>
              </w:rPr>
              <w:t>American Indian or Alaska Native</w:t>
            </w:r>
          </w:p>
        </w:tc>
        <w:tc>
          <w:tcPr>
            <w:tcW w:w="5238" w:type="dxa"/>
            <w:shd w:val="clear" w:color="auto" w:fill="auto"/>
            <w:noWrap/>
          </w:tcPr>
          <w:p w:rsidR="007E799D" w:rsidRPr="00F817A4" w:rsidRDefault="007E799D" w:rsidP="007E799D">
            <w:pPr>
              <w:spacing w:after="0" w:line="240" w:lineRule="auto"/>
              <w:rPr>
                <w:rFonts w:ascii="Calibri" w:eastAsia="Times New Roman" w:hAnsi="Calibri" w:cs="Times New Roman"/>
                <w:color w:val="000000"/>
                <w:sz w:val="20"/>
                <w:szCs w:val="20"/>
              </w:rPr>
            </w:pPr>
            <w:r w:rsidRPr="007E799D">
              <w:rPr>
                <w:rFonts w:ascii="Calibri" w:eastAsia="Times New Roman" w:hAnsi="Calibri" w:cs="Times New Roman"/>
                <w:color w:val="000000"/>
                <w:sz w:val="20"/>
                <w:szCs w:val="20"/>
              </w:rPr>
              <w:t>Having origins in any of the original peoples of North an</w:t>
            </w:r>
            <w:r>
              <w:rPr>
                <w:rFonts w:ascii="Calibri" w:eastAsia="Times New Roman" w:hAnsi="Calibri" w:cs="Times New Roman"/>
                <w:color w:val="000000"/>
                <w:sz w:val="20"/>
                <w:szCs w:val="20"/>
              </w:rPr>
              <w:t xml:space="preserve">d South America </w:t>
            </w:r>
            <w:r w:rsidRPr="007E799D">
              <w:rPr>
                <w:rFonts w:ascii="Calibri" w:eastAsia="Times New Roman" w:hAnsi="Calibri" w:cs="Times New Roman"/>
                <w:color w:val="000000"/>
                <w:sz w:val="20"/>
                <w:szCs w:val="20"/>
              </w:rPr>
              <w:t xml:space="preserve">(including Central America), and who </w:t>
            </w:r>
            <w:r>
              <w:rPr>
                <w:rFonts w:ascii="Calibri" w:eastAsia="Times New Roman" w:hAnsi="Calibri" w:cs="Times New Roman"/>
                <w:color w:val="000000"/>
                <w:sz w:val="20"/>
                <w:szCs w:val="20"/>
              </w:rPr>
              <w:t xml:space="preserve">maintains tribal affiliation or </w:t>
            </w:r>
            <w:r w:rsidRPr="007E799D">
              <w:rPr>
                <w:rFonts w:ascii="Calibri" w:eastAsia="Times New Roman" w:hAnsi="Calibri" w:cs="Times New Roman"/>
                <w:color w:val="000000"/>
                <w:sz w:val="20"/>
                <w:szCs w:val="20"/>
              </w:rPr>
              <w:t>community attachment.</w:t>
            </w:r>
          </w:p>
        </w:tc>
      </w:tr>
      <w:tr w:rsidR="007E799D" w:rsidRPr="00F817A4" w:rsidTr="003D6BCC">
        <w:trPr>
          <w:trHeight w:hRule="exact" w:val="1470"/>
          <w:tblHeader/>
        </w:trPr>
        <w:tc>
          <w:tcPr>
            <w:tcW w:w="1890" w:type="dxa"/>
            <w:shd w:val="clear" w:color="auto" w:fill="auto"/>
            <w:noWrap/>
          </w:tcPr>
          <w:p w:rsidR="007E799D" w:rsidRPr="00F817A4" w:rsidRDefault="007E799D" w:rsidP="007E799D">
            <w:pPr>
              <w:rPr>
                <w:rFonts w:ascii="Calibri" w:hAnsi="Calibri"/>
                <w:color w:val="000000"/>
                <w:sz w:val="20"/>
                <w:szCs w:val="20"/>
              </w:rPr>
            </w:pPr>
          </w:p>
        </w:tc>
        <w:tc>
          <w:tcPr>
            <w:tcW w:w="3060" w:type="dxa"/>
            <w:shd w:val="clear" w:color="auto" w:fill="auto"/>
            <w:noWrap/>
          </w:tcPr>
          <w:p w:rsidR="007E799D" w:rsidRPr="00F817A4" w:rsidRDefault="007E799D" w:rsidP="007E799D">
            <w:pPr>
              <w:rPr>
                <w:rFonts w:ascii="Calibri" w:hAnsi="Calibri"/>
                <w:color w:val="000000"/>
                <w:sz w:val="20"/>
                <w:szCs w:val="20"/>
              </w:rPr>
            </w:pPr>
            <w:r w:rsidRPr="00F817A4">
              <w:rPr>
                <w:rFonts w:ascii="Calibri" w:hAnsi="Calibri"/>
                <w:color w:val="000000"/>
                <w:sz w:val="20"/>
                <w:szCs w:val="20"/>
              </w:rPr>
              <w:t>Asian</w:t>
            </w:r>
          </w:p>
        </w:tc>
        <w:tc>
          <w:tcPr>
            <w:tcW w:w="5238" w:type="dxa"/>
            <w:shd w:val="clear" w:color="auto" w:fill="auto"/>
            <w:noWrap/>
          </w:tcPr>
          <w:p w:rsidR="007E799D" w:rsidRPr="00F817A4" w:rsidRDefault="007E799D" w:rsidP="007E799D">
            <w:pPr>
              <w:spacing w:after="0" w:line="240" w:lineRule="auto"/>
              <w:rPr>
                <w:rFonts w:ascii="Calibri" w:eastAsia="Times New Roman" w:hAnsi="Calibri" w:cs="Times New Roman"/>
                <w:color w:val="000000"/>
                <w:sz w:val="20"/>
                <w:szCs w:val="20"/>
              </w:rPr>
            </w:pPr>
            <w:r>
              <w:t>Having origins in any of the original peoples of the Far East, Southeast Asia, or the Indian subcontinent, including, for example, Cambodia, China, India, Japan, Korea, Malaysia, Pakistan, the Philippine Islands, Thailand, and Vietnam.</w:t>
            </w:r>
          </w:p>
        </w:tc>
      </w:tr>
      <w:tr w:rsidR="007E799D" w:rsidRPr="00F817A4" w:rsidTr="003D6BCC">
        <w:trPr>
          <w:trHeight w:hRule="exact" w:val="288"/>
          <w:tblHeader/>
        </w:trPr>
        <w:tc>
          <w:tcPr>
            <w:tcW w:w="1890" w:type="dxa"/>
            <w:shd w:val="clear" w:color="auto" w:fill="auto"/>
            <w:noWrap/>
          </w:tcPr>
          <w:p w:rsidR="007E799D" w:rsidRPr="00F817A4" w:rsidRDefault="007E799D" w:rsidP="007E799D">
            <w:pPr>
              <w:rPr>
                <w:rFonts w:ascii="Calibri" w:hAnsi="Calibri"/>
                <w:color w:val="000000"/>
                <w:sz w:val="20"/>
                <w:szCs w:val="20"/>
              </w:rPr>
            </w:pPr>
          </w:p>
        </w:tc>
        <w:tc>
          <w:tcPr>
            <w:tcW w:w="3060" w:type="dxa"/>
            <w:shd w:val="clear" w:color="auto" w:fill="auto"/>
            <w:noWrap/>
          </w:tcPr>
          <w:p w:rsidR="007E799D" w:rsidRPr="00F817A4" w:rsidRDefault="007E799D" w:rsidP="007E799D">
            <w:pPr>
              <w:rPr>
                <w:rFonts w:ascii="Calibri" w:hAnsi="Calibri"/>
                <w:color w:val="000000"/>
                <w:sz w:val="20"/>
                <w:szCs w:val="20"/>
              </w:rPr>
            </w:pPr>
            <w:r w:rsidRPr="00F817A4">
              <w:rPr>
                <w:rFonts w:ascii="Calibri" w:hAnsi="Calibri"/>
                <w:color w:val="000000"/>
                <w:sz w:val="20"/>
                <w:szCs w:val="20"/>
              </w:rPr>
              <w:t>Black or African American</w:t>
            </w:r>
          </w:p>
        </w:tc>
        <w:tc>
          <w:tcPr>
            <w:tcW w:w="5238" w:type="dxa"/>
            <w:shd w:val="clear" w:color="auto" w:fill="auto"/>
            <w:noWrap/>
          </w:tcPr>
          <w:p w:rsidR="007E799D" w:rsidRPr="00F817A4" w:rsidRDefault="007E799D" w:rsidP="007E799D">
            <w:pPr>
              <w:spacing w:after="0" w:line="240" w:lineRule="auto"/>
              <w:rPr>
                <w:rFonts w:ascii="Calibri" w:eastAsia="Times New Roman" w:hAnsi="Calibri" w:cs="Times New Roman"/>
                <w:color w:val="000000"/>
                <w:sz w:val="20"/>
                <w:szCs w:val="20"/>
              </w:rPr>
            </w:pPr>
            <w:r w:rsidRPr="007E799D">
              <w:rPr>
                <w:rFonts w:ascii="Calibri" w:eastAsia="Times New Roman" w:hAnsi="Calibri" w:cs="Times New Roman"/>
                <w:color w:val="000000"/>
                <w:sz w:val="20"/>
                <w:szCs w:val="20"/>
              </w:rPr>
              <w:t>Having origins in any of the black racial groups of Africa</w:t>
            </w:r>
            <w:r>
              <w:rPr>
                <w:rFonts w:ascii="Calibri" w:eastAsia="Times New Roman" w:hAnsi="Calibri" w:cs="Times New Roman"/>
                <w:color w:val="000000"/>
                <w:sz w:val="20"/>
                <w:szCs w:val="20"/>
              </w:rPr>
              <w:t>.</w:t>
            </w:r>
          </w:p>
        </w:tc>
      </w:tr>
      <w:tr w:rsidR="007E799D" w:rsidRPr="00F817A4" w:rsidTr="003D6BCC">
        <w:trPr>
          <w:trHeight w:hRule="exact" w:val="606"/>
          <w:tblHeader/>
        </w:trPr>
        <w:tc>
          <w:tcPr>
            <w:tcW w:w="1890" w:type="dxa"/>
            <w:shd w:val="clear" w:color="auto" w:fill="auto"/>
            <w:noWrap/>
          </w:tcPr>
          <w:p w:rsidR="007E799D" w:rsidRPr="00F817A4" w:rsidRDefault="007E799D" w:rsidP="007E799D">
            <w:pPr>
              <w:rPr>
                <w:rFonts w:ascii="Calibri" w:hAnsi="Calibri"/>
                <w:color w:val="000000"/>
                <w:sz w:val="20"/>
                <w:szCs w:val="20"/>
              </w:rPr>
            </w:pPr>
          </w:p>
        </w:tc>
        <w:tc>
          <w:tcPr>
            <w:tcW w:w="3060" w:type="dxa"/>
            <w:shd w:val="clear" w:color="auto" w:fill="auto"/>
            <w:noWrap/>
          </w:tcPr>
          <w:p w:rsidR="007E799D" w:rsidRPr="00F817A4" w:rsidRDefault="007E799D" w:rsidP="007E799D">
            <w:pPr>
              <w:rPr>
                <w:rFonts w:ascii="Calibri" w:hAnsi="Calibri"/>
                <w:color w:val="000000"/>
                <w:sz w:val="20"/>
                <w:szCs w:val="20"/>
              </w:rPr>
            </w:pPr>
            <w:r>
              <w:rPr>
                <w:rFonts w:ascii="Calibri" w:hAnsi="Calibri"/>
                <w:color w:val="000000"/>
                <w:sz w:val="20"/>
                <w:szCs w:val="20"/>
              </w:rPr>
              <w:t xml:space="preserve">Native Hawaiian or </w:t>
            </w:r>
            <w:r w:rsidRPr="00F817A4">
              <w:rPr>
                <w:rFonts w:ascii="Calibri" w:hAnsi="Calibri"/>
                <w:color w:val="000000"/>
                <w:sz w:val="20"/>
                <w:szCs w:val="20"/>
              </w:rPr>
              <w:t>Pacific Islander</w:t>
            </w:r>
          </w:p>
        </w:tc>
        <w:tc>
          <w:tcPr>
            <w:tcW w:w="5238" w:type="dxa"/>
            <w:shd w:val="clear" w:color="auto" w:fill="auto"/>
            <w:noWrap/>
          </w:tcPr>
          <w:p w:rsidR="007E799D" w:rsidRPr="00F817A4" w:rsidRDefault="007E799D" w:rsidP="007E799D">
            <w:pPr>
              <w:spacing w:after="0" w:line="240" w:lineRule="auto"/>
              <w:rPr>
                <w:rFonts w:ascii="Calibri" w:eastAsia="Times New Roman" w:hAnsi="Calibri" w:cs="Times New Roman"/>
                <w:color w:val="000000"/>
                <w:sz w:val="20"/>
                <w:szCs w:val="20"/>
              </w:rPr>
            </w:pPr>
            <w:r w:rsidRPr="007E799D">
              <w:rPr>
                <w:rFonts w:ascii="Calibri" w:eastAsia="Times New Roman" w:hAnsi="Calibri" w:cs="Times New Roman"/>
                <w:color w:val="000000"/>
                <w:sz w:val="20"/>
                <w:szCs w:val="20"/>
              </w:rPr>
              <w:t>Having origins in any of the original peo</w:t>
            </w:r>
            <w:r>
              <w:rPr>
                <w:rFonts w:ascii="Calibri" w:eastAsia="Times New Roman" w:hAnsi="Calibri" w:cs="Times New Roman"/>
                <w:color w:val="000000"/>
                <w:sz w:val="20"/>
                <w:szCs w:val="20"/>
              </w:rPr>
              <w:t xml:space="preserve">ples of Hawaii, Guam, Samoa, or </w:t>
            </w:r>
            <w:r w:rsidRPr="007E799D">
              <w:rPr>
                <w:rFonts w:ascii="Calibri" w:eastAsia="Times New Roman" w:hAnsi="Calibri" w:cs="Times New Roman"/>
                <w:color w:val="000000"/>
                <w:sz w:val="20"/>
                <w:szCs w:val="20"/>
              </w:rPr>
              <w:t>other Pacific Islands.</w:t>
            </w:r>
          </w:p>
        </w:tc>
      </w:tr>
      <w:tr w:rsidR="007E799D" w:rsidRPr="00F817A4" w:rsidTr="003D6BCC">
        <w:trPr>
          <w:trHeight w:hRule="exact" w:val="588"/>
          <w:tblHeader/>
        </w:trPr>
        <w:tc>
          <w:tcPr>
            <w:tcW w:w="1890" w:type="dxa"/>
            <w:shd w:val="clear" w:color="auto" w:fill="auto"/>
            <w:noWrap/>
          </w:tcPr>
          <w:p w:rsidR="007E799D" w:rsidRPr="00F817A4" w:rsidRDefault="007E799D" w:rsidP="007E799D">
            <w:pPr>
              <w:rPr>
                <w:rFonts w:ascii="Calibri" w:hAnsi="Calibri"/>
                <w:color w:val="000000"/>
                <w:sz w:val="20"/>
                <w:szCs w:val="20"/>
              </w:rPr>
            </w:pPr>
          </w:p>
        </w:tc>
        <w:tc>
          <w:tcPr>
            <w:tcW w:w="3060" w:type="dxa"/>
            <w:shd w:val="clear" w:color="auto" w:fill="auto"/>
            <w:noWrap/>
          </w:tcPr>
          <w:p w:rsidR="007E799D" w:rsidRPr="00F817A4" w:rsidRDefault="007E799D" w:rsidP="007E799D">
            <w:pPr>
              <w:rPr>
                <w:rFonts w:ascii="Calibri" w:hAnsi="Calibri"/>
                <w:color w:val="000000"/>
                <w:sz w:val="20"/>
                <w:szCs w:val="20"/>
              </w:rPr>
            </w:pPr>
            <w:r w:rsidRPr="00F817A4">
              <w:rPr>
                <w:rFonts w:ascii="Calibri" w:hAnsi="Calibri"/>
                <w:color w:val="000000"/>
                <w:sz w:val="20"/>
                <w:szCs w:val="20"/>
              </w:rPr>
              <w:t>White</w:t>
            </w:r>
          </w:p>
        </w:tc>
        <w:tc>
          <w:tcPr>
            <w:tcW w:w="5238" w:type="dxa"/>
            <w:shd w:val="clear" w:color="auto" w:fill="auto"/>
            <w:noWrap/>
          </w:tcPr>
          <w:p w:rsidR="007E799D" w:rsidRPr="00F817A4" w:rsidRDefault="006D62F4" w:rsidP="007E799D">
            <w:pPr>
              <w:spacing w:after="0" w:line="240" w:lineRule="auto"/>
              <w:rPr>
                <w:rFonts w:ascii="Calibri" w:eastAsia="Times New Roman" w:hAnsi="Calibri" w:cs="Times New Roman"/>
                <w:color w:val="000000"/>
                <w:sz w:val="20"/>
                <w:szCs w:val="20"/>
              </w:rPr>
            </w:pPr>
            <w:r>
              <w:t>Having origins in any of the original peoples of Europe, the Middle East, or North Africa</w:t>
            </w:r>
          </w:p>
        </w:tc>
      </w:tr>
    </w:tbl>
    <w:p w:rsidR="00F9549F" w:rsidRDefault="00F9549F"/>
    <w:p w:rsidR="003D6BCC" w:rsidRDefault="003D6BCC"/>
    <w:p w:rsidR="00F9549F" w:rsidRDefault="00F9549F"/>
    <w:tbl>
      <w:tblPr>
        <w:tblW w:w="101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90"/>
        <w:gridCol w:w="3060"/>
        <w:gridCol w:w="5238"/>
      </w:tblGrid>
      <w:tr w:rsidR="003D6BCC" w:rsidRPr="00F817A4" w:rsidTr="003D6BCC">
        <w:trPr>
          <w:trHeight w:hRule="exact" w:val="288"/>
          <w:tblHeader/>
        </w:trPr>
        <w:tc>
          <w:tcPr>
            <w:tcW w:w="1890" w:type="dxa"/>
            <w:shd w:val="clear" w:color="auto" w:fill="auto"/>
            <w:noWrap/>
            <w:hideMark/>
          </w:tcPr>
          <w:p w:rsidR="003D6BCC" w:rsidRPr="008A71E1" w:rsidRDefault="003D6BCC" w:rsidP="003D6BCC">
            <w:pPr>
              <w:spacing w:after="0" w:line="240" w:lineRule="auto"/>
              <w:rPr>
                <w:rFonts w:ascii="Calibri" w:eastAsia="Times New Roman" w:hAnsi="Calibri" w:cs="Times New Roman"/>
                <w:color w:val="000000"/>
                <w:sz w:val="20"/>
                <w:szCs w:val="20"/>
              </w:rPr>
            </w:pPr>
            <w:r w:rsidRPr="00F817A4">
              <w:rPr>
                <w:rFonts w:ascii="Calibri" w:eastAsia="Times New Roman" w:hAnsi="Calibri" w:cs="Times New Roman"/>
                <w:color w:val="000000"/>
                <w:sz w:val="20"/>
                <w:szCs w:val="20"/>
              </w:rPr>
              <w:t xml:space="preserve">Data </w:t>
            </w:r>
            <w:r w:rsidRPr="008A71E1">
              <w:rPr>
                <w:rFonts w:ascii="Calibri" w:eastAsia="Times New Roman" w:hAnsi="Calibri" w:cs="Times New Roman"/>
                <w:color w:val="000000"/>
                <w:sz w:val="20"/>
                <w:szCs w:val="20"/>
              </w:rPr>
              <w:t>Element</w:t>
            </w:r>
          </w:p>
        </w:tc>
        <w:tc>
          <w:tcPr>
            <w:tcW w:w="3060" w:type="dxa"/>
            <w:shd w:val="clear" w:color="auto" w:fill="auto"/>
            <w:noWrap/>
            <w:hideMark/>
          </w:tcPr>
          <w:p w:rsidR="003D6BCC" w:rsidRPr="008A71E1" w:rsidRDefault="003D6BCC" w:rsidP="003D6BCC">
            <w:pPr>
              <w:spacing w:after="0" w:line="240" w:lineRule="auto"/>
              <w:rPr>
                <w:rFonts w:ascii="Calibri" w:eastAsia="Times New Roman" w:hAnsi="Calibri" w:cs="Times New Roman"/>
                <w:color w:val="000000"/>
                <w:sz w:val="20"/>
                <w:szCs w:val="20"/>
              </w:rPr>
            </w:pPr>
            <w:r w:rsidRPr="008A71E1">
              <w:rPr>
                <w:rFonts w:ascii="Calibri" w:eastAsia="Times New Roman" w:hAnsi="Calibri" w:cs="Times New Roman"/>
                <w:color w:val="000000"/>
                <w:sz w:val="20"/>
                <w:szCs w:val="20"/>
              </w:rPr>
              <w:t>Value</w:t>
            </w:r>
          </w:p>
        </w:tc>
        <w:tc>
          <w:tcPr>
            <w:tcW w:w="5238" w:type="dxa"/>
            <w:shd w:val="clear" w:color="auto" w:fill="auto"/>
            <w:noWrap/>
            <w:hideMark/>
          </w:tcPr>
          <w:p w:rsidR="003D6BCC" w:rsidRPr="008A71E1" w:rsidRDefault="003D6BCC" w:rsidP="003D6BCC">
            <w:pPr>
              <w:spacing w:after="0" w:line="240" w:lineRule="auto"/>
              <w:rPr>
                <w:rFonts w:ascii="Calibri" w:eastAsia="Times New Roman" w:hAnsi="Calibri" w:cs="Times New Roman"/>
                <w:color w:val="000000"/>
                <w:sz w:val="20"/>
                <w:szCs w:val="20"/>
              </w:rPr>
            </w:pPr>
            <w:r w:rsidRPr="008A71E1">
              <w:rPr>
                <w:rFonts w:ascii="Calibri" w:eastAsia="Times New Roman" w:hAnsi="Calibri" w:cs="Times New Roman"/>
                <w:color w:val="000000"/>
                <w:sz w:val="20"/>
                <w:szCs w:val="20"/>
              </w:rPr>
              <w:t>Definition</w:t>
            </w:r>
          </w:p>
        </w:tc>
      </w:tr>
      <w:tr w:rsidR="007E799D" w:rsidRPr="00F817A4" w:rsidTr="003D6BCC">
        <w:trPr>
          <w:trHeight w:hRule="exact" w:val="1020"/>
          <w:tblHeader/>
        </w:trPr>
        <w:tc>
          <w:tcPr>
            <w:tcW w:w="1890" w:type="dxa"/>
            <w:shd w:val="clear" w:color="auto" w:fill="auto"/>
            <w:noWrap/>
          </w:tcPr>
          <w:p w:rsidR="007E799D" w:rsidRPr="00F817A4" w:rsidRDefault="007E799D" w:rsidP="007E799D">
            <w:pPr>
              <w:rPr>
                <w:rFonts w:ascii="Calibri" w:hAnsi="Calibri"/>
                <w:color w:val="000000"/>
                <w:sz w:val="20"/>
                <w:szCs w:val="20"/>
              </w:rPr>
            </w:pPr>
            <w:r w:rsidRPr="00F817A4">
              <w:rPr>
                <w:rFonts w:ascii="Calibri" w:hAnsi="Calibri"/>
                <w:color w:val="000000"/>
                <w:sz w:val="20"/>
                <w:szCs w:val="20"/>
              </w:rPr>
              <w:t>Minority Status</w:t>
            </w:r>
          </w:p>
        </w:tc>
        <w:tc>
          <w:tcPr>
            <w:tcW w:w="3060" w:type="dxa"/>
            <w:shd w:val="clear" w:color="auto" w:fill="auto"/>
            <w:noWrap/>
          </w:tcPr>
          <w:p w:rsidR="007E799D" w:rsidRPr="00F817A4" w:rsidRDefault="007E799D" w:rsidP="007E799D">
            <w:pPr>
              <w:spacing w:after="0" w:line="240" w:lineRule="auto"/>
              <w:rPr>
                <w:rFonts w:ascii="Calibri" w:eastAsia="Times New Roman" w:hAnsi="Calibri" w:cs="Times New Roman"/>
                <w:color w:val="000000"/>
                <w:sz w:val="20"/>
                <w:szCs w:val="20"/>
              </w:rPr>
            </w:pPr>
          </w:p>
        </w:tc>
        <w:tc>
          <w:tcPr>
            <w:tcW w:w="5238" w:type="dxa"/>
            <w:shd w:val="clear" w:color="auto" w:fill="auto"/>
            <w:noWrap/>
          </w:tcPr>
          <w:p w:rsidR="006D62F4" w:rsidRPr="006D62F4" w:rsidRDefault="006D62F4" w:rsidP="006D62F4">
            <w:pPr>
              <w:spacing w:after="0" w:line="240" w:lineRule="auto"/>
              <w:rPr>
                <w:rFonts w:ascii="Calibri" w:eastAsia="Times New Roman" w:hAnsi="Calibri" w:cs="Times New Roman"/>
                <w:color w:val="000000"/>
                <w:sz w:val="20"/>
                <w:szCs w:val="20"/>
              </w:rPr>
            </w:pPr>
            <w:r w:rsidRPr="006D62F4">
              <w:rPr>
                <w:rFonts w:ascii="Calibri" w:eastAsia="Times New Roman" w:hAnsi="Calibri" w:cs="Times New Roman"/>
                <w:color w:val="000000"/>
                <w:sz w:val="20"/>
                <w:szCs w:val="20"/>
              </w:rPr>
              <w:t xml:space="preserve">Racial and ethnic minority populations are defined as: </w:t>
            </w:r>
          </w:p>
          <w:p w:rsidR="007E799D" w:rsidRPr="00F817A4" w:rsidRDefault="006D62F4" w:rsidP="006D62F4">
            <w:pPr>
              <w:spacing w:after="0" w:line="240" w:lineRule="auto"/>
              <w:rPr>
                <w:rFonts w:ascii="Calibri" w:eastAsia="Times New Roman" w:hAnsi="Calibri" w:cs="Times New Roman"/>
                <w:color w:val="000000"/>
                <w:sz w:val="20"/>
                <w:szCs w:val="20"/>
              </w:rPr>
            </w:pPr>
            <w:r w:rsidRPr="006D62F4">
              <w:rPr>
                <w:rFonts w:ascii="Calibri" w:eastAsia="Times New Roman" w:hAnsi="Calibri" w:cs="Times New Roman"/>
                <w:color w:val="000000"/>
                <w:sz w:val="20"/>
                <w:szCs w:val="20"/>
              </w:rPr>
              <w:t>Asian American, Black or African American, Hispanic or Latino, Native Hawaiian and Other Pacific Islander, American Indian and Alaska Native.</w:t>
            </w:r>
          </w:p>
        </w:tc>
      </w:tr>
      <w:tr w:rsidR="007E799D" w:rsidRPr="00F817A4" w:rsidTr="003D6BCC">
        <w:trPr>
          <w:trHeight w:hRule="exact" w:val="1083"/>
          <w:tblHeader/>
        </w:trPr>
        <w:tc>
          <w:tcPr>
            <w:tcW w:w="1890" w:type="dxa"/>
            <w:shd w:val="clear" w:color="auto" w:fill="auto"/>
            <w:noWrap/>
          </w:tcPr>
          <w:p w:rsidR="007E799D" w:rsidRPr="00F817A4" w:rsidRDefault="007E799D" w:rsidP="007E799D">
            <w:pPr>
              <w:rPr>
                <w:rFonts w:ascii="Calibri" w:hAnsi="Calibri"/>
                <w:color w:val="000000"/>
                <w:sz w:val="20"/>
                <w:szCs w:val="20"/>
              </w:rPr>
            </w:pPr>
          </w:p>
        </w:tc>
        <w:tc>
          <w:tcPr>
            <w:tcW w:w="3060" w:type="dxa"/>
            <w:shd w:val="clear" w:color="auto" w:fill="auto"/>
            <w:noWrap/>
          </w:tcPr>
          <w:p w:rsidR="007E799D" w:rsidRPr="00F817A4" w:rsidRDefault="007E799D" w:rsidP="007E799D">
            <w:pPr>
              <w:rPr>
                <w:rFonts w:ascii="Calibri" w:hAnsi="Calibri"/>
                <w:color w:val="000000"/>
                <w:sz w:val="20"/>
                <w:szCs w:val="20"/>
              </w:rPr>
            </w:pPr>
            <w:r w:rsidRPr="00F817A4">
              <w:rPr>
                <w:rFonts w:ascii="Calibri" w:hAnsi="Calibri"/>
                <w:color w:val="000000"/>
                <w:sz w:val="20"/>
                <w:szCs w:val="20"/>
              </w:rPr>
              <w:t>Minority</w:t>
            </w:r>
          </w:p>
        </w:tc>
        <w:tc>
          <w:tcPr>
            <w:tcW w:w="5238" w:type="dxa"/>
            <w:shd w:val="clear" w:color="auto" w:fill="auto"/>
            <w:noWrap/>
          </w:tcPr>
          <w:p w:rsidR="007E799D" w:rsidRPr="00F817A4" w:rsidRDefault="006D62F4" w:rsidP="006D62F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A person’s self-reported racial and ethnic identity includes one or more of the following: </w:t>
            </w:r>
            <w:r w:rsidRPr="006D62F4">
              <w:rPr>
                <w:rFonts w:ascii="Calibri" w:eastAsia="Times New Roman" w:hAnsi="Calibri" w:cs="Times New Roman"/>
                <w:color w:val="000000"/>
                <w:sz w:val="20"/>
                <w:szCs w:val="20"/>
              </w:rPr>
              <w:t>Asian American, Black or African American, Hispanic or Latino, Native Hawaiian and Other Pacific Islander, American Indian and Alaska Native.</w:t>
            </w:r>
          </w:p>
        </w:tc>
      </w:tr>
      <w:tr w:rsidR="007E799D" w:rsidRPr="00F817A4" w:rsidTr="003D6BCC">
        <w:trPr>
          <w:trHeight w:hRule="exact" w:val="1065"/>
          <w:tblHeader/>
        </w:trPr>
        <w:tc>
          <w:tcPr>
            <w:tcW w:w="1890" w:type="dxa"/>
            <w:shd w:val="clear" w:color="auto" w:fill="auto"/>
            <w:noWrap/>
          </w:tcPr>
          <w:p w:rsidR="007E799D" w:rsidRPr="00F817A4" w:rsidRDefault="007E799D" w:rsidP="007E799D">
            <w:pPr>
              <w:rPr>
                <w:rFonts w:ascii="Calibri" w:hAnsi="Calibri"/>
                <w:color w:val="000000"/>
                <w:sz w:val="20"/>
                <w:szCs w:val="20"/>
              </w:rPr>
            </w:pPr>
          </w:p>
        </w:tc>
        <w:tc>
          <w:tcPr>
            <w:tcW w:w="3060" w:type="dxa"/>
            <w:shd w:val="clear" w:color="auto" w:fill="auto"/>
            <w:noWrap/>
          </w:tcPr>
          <w:p w:rsidR="007E799D" w:rsidRPr="00F817A4" w:rsidRDefault="007E799D" w:rsidP="007E799D">
            <w:pPr>
              <w:rPr>
                <w:rFonts w:ascii="Calibri" w:hAnsi="Calibri"/>
                <w:color w:val="000000"/>
                <w:sz w:val="20"/>
                <w:szCs w:val="20"/>
              </w:rPr>
            </w:pPr>
            <w:r w:rsidRPr="00F817A4">
              <w:rPr>
                <w:rFonts w:ascii="Calibri" w:hAnsi="Calibri"/>
                <w:color w:val="000000"/>
                <w:sz w:val="20"/>
                <w:szCs w:val="20"/>
              </w:rPr>
              <w:t>Not Minority</w:t>
            </w:r>
          </w:p>
        </w:tc>
        <w:tc>
          <w:tcPr>
            <w:tcW w:w="5238" w:type="dxa"/>
            <w:shd w:val="clear" w:color="auto" w:fill="auto"/>
            <w:noWrap/>
          </w:tcPr>
          <w:p w:rsidR="007E799D" w:rsidRPr="00F817A4" w:rsidRDefault="006D62F4" w:rsidP="006D62F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A person’s self-reported racial and ethnic identity does not include any of the following: </w:t>
            </w:r>
            <w:r w:rsidRPr="006D62F4">
              <w:rPr>
                <w:rFonts w:ascii="Calibri" w:eastAsia="Times New Roman" w:hAnsi="Calibri" w:cs="Times New Roman"/>
                <w:color w:val="000000"/>
                <w:sz w:val="20"/>
                <w:szCs w:val="20"/>
              </w:rPr>
              <w:t>Asian American, Black or African American, Hispanic or Latino, Native Hawaiian and Other Pacific Islander, American Indian and Alaska Native.</w:t>
            </w:r>
          </w:p>
        </w:tc>
      </w:tr>
      <w:tr w:rsidR="007E799D" w:rsidRPr="00F817A4" w:rsidTr="003D6BCC">
        <w:trPr>
          <w:trHeight w:hRule="exact" w:val="288"/>
          <w:tblHeader/>
        </w:trPr>
        <w:tc>
          <w:tcPr>
            <w:tcW w:w="1890" w:type="dxa"/>
            <w:shd w:val="clear" w:color="auto" w:fill="auto"/>
            <w:noWrap/>
          </w:tcPr>
          <w:p w:rsidR="007E799D" w:rsidRPr="00F817A4" w:rsidRDefault="007E799D" w:rsidP="007E799D">
            <w:pPr>
              <w:rPr>
                <w:rFonts w:ascii="Calibri" w:hAnsi="Calibri"/>
                <w:color w:val="000000"/>
                <w:sz w:val="20"/>
                <w:szCs w:val="20"/>
              </w:rPr>
            </w:pPr>
            <w:r w:rsidRPr="00F817A4">
              <w:rPr>
                <w:rFonts w:ascii="Calibri" w:hAnsi="Calibri"/>
                <w:color w:val="000000"/>
                <w:sz w:val="20"/>
                <w:szCs w:val="20"/>
              </w:rPr>
              <w:t>Medicaid Beneficiary Status</w:t>
            </w:r>
          </w:p>
        </w:tc>
        <w:tc>
          <w:tcPr>
            <w:tcW w:w="3060" w:type="dxa"/>
            <w:shd w:val="clear" w:color="auto" w:fill="auto"/>
            <w:noWrap/>
          </w:tcPr>
          <w:p w:rsidR="007E799D" w:rsidRPr="00F817A4" w:rsidRDefault="007E799D" w:rsidP="007E799D">
            <w:pPr>
              <w:spacing w:after="0" w:line="240" w:lineRule="auto"/>
              <w:rPr>
                <w:rFonts w:ascii="Calibri" w:eastAsia="Times New Roman" w:hAnsi="Calibri" w:cs="Times New Roman"/>
                <w:color w:val="000000"/>
                <w:sz w:val="20"/>
                <w:szCs w:val="20"/>
              </w:rPr>
            </w:pPr>
          </w:p>
        </w:tc>
        <w:tc>
          <w:tcPr>
            <w:tcW w:w="5238" w:type="dxa"/>
            <w:shd w:val="clear" w:color="auto" w:fill="auto"/>
            <w:noWrap/>
          </w:tcPr>
          <w:p w:rsidR="007E799D" w:rsidRPr="00F817A4" w:rsidRDefault="007E799D" w:rsidP="007E799D">
            <w:pPr>
              <w:spacing w:after="0" w:line="240" w:lineRule="auto"/>
              <w:rPr>
                <w:rFonts w:ascii="Calibri" w:eastAsia="Times New Roman" w:hAnsi="Calibri" w:cs="Times New Roman"/>
                <w:color w:val="000000"/>
                <w:sz w:val="20"/>
                <w:szCs w:val="20"/>
              </w:rPr>
            </w:pPr>
          </w:p>
        </w:tc>
      </w:tr>
      <w:tr w:rsidR="007E799D" w:rsidRPr="00F817A4" w:rsidTr="003D6BCC">
        <w:trPr>
          <w:trHeight w:hRule="exact" w:val="588"/>
          <w:tblHeader/>
        </w:trPr>
        <w:tc>
          <w:tcPr>
            <w:tcW w:w="1890" w:type="dxa"/>
            <w:shd w:val="clear" w:color="auto" w:fill="auto"/>
            <w:noWrap/>
          </w:tcPr>
          <w:p w:rsidR="007E799D" w:rsidRPr="00F817A4" w:rsidRDefault="007E799D" w:rsidP="007E799D">
            <w:pPr>
              <w:rPr>
                <w:rFonts w:ascii="Calibri" w:hAnsi="Calibri"/>
                <w:color w:val="000000"/>
                <w:sz w:val="20"/>
                <w:szCs w:val="20"/>
              </w:rPr>
            </w:pPr>
          </w:p>
        </w:tc>
        <w:tc>
          <w:tcPr>
            <w:tcW w:w="3060" w:type="dxa"/>
            <w:shd w:val="clear" w:color="auto" w:fill="auto"/>
            <w:noWrap/>
          </w:tcPr>
          <w:p w:rsidR="007E799D" w:rsidRPr="00F817A4" w:rsidRDefault="007E799D" w:rsidP="007E799D">
            <w:pPr>
              <w:spacing w:after="0" w:line="240" w:lineRule="auto"/>
              <w:rPr>
                <w:rFonts w:ascii="Calibri" w:eastAsia="Times New Roman" w:hAnsi="Calibri" w:cs="Times New Roman"/>
                <w:color w:val="000000"/>
                <w:sz w:val="20"/>
                <w:szCs w:val="20"/>
              </w:rPr>
            </w:pPr>
            <w:r w:rsidRPr="00F817A4">
              <w:rPr>
                <w:rFonts w:ascii="Calibri" w:hAnsi="Calibri"/>
                <w:color w:val="000000"/>
                <w:sz w:val="20"/>
                <w:szCs w:val="20"/>
              </w:rPr>
              <w:t>Medicaid Beneficiary</w:t>
            </w:r>
          </w:p>
        </w:tc>
        <w:tc>
          <w:tcPr>
            <w:tcW w:w="5238" w:type="dxa"/>
            <w:shd w:val="clear" w:color="auto" w:fill="auto"/>
            <w:noWrap/>
          </w:tcPr>
          <w:p w:rsidR="007E799D" w:rsidRPr="00F817A4" w:rsidRDefault="00EC08FF" w:rsidP="00EC08FF">
            <w:pPr>
              <w:spacing w:after="0" w:line="240" w:lineRule="auto"/>
              <w:rPr>
                <w:rFonts w:ascii="Calibri" w:eastAsia="Times New Roman" w:hAnsi="Calibri" w:cs="Times New Roman"/>
                <w:color w:val="000000"/>
                <w:sz w:val="20"/>
                <w:szCs w:val="20"/>
              </w:rPr>
            </w:pPr>
            <w:r w:rsidRPr="00EC08FF">
              <w:rPr>
                <w:rFonts w:ascii="Calibri" w:eastAsia="Times New Roman" w:hAnsi="Calibri" w:cs="Times New Roman"/>
                <w:color w:val="000000"/>
                <w:sz w:val="20"/>
                <w:szCs w:val="20"/>
              </w:rPr>
              <w:t>A person who has health care insurance through the Medicaid programs.</w:t>
            </w:r>
            <w:r w:rsidR="00C73E75">
              <w:rPr>
                <w:rFonts w:ascii="Calibri" w:eastAsia="Times New Roman" w:hAnsi="Calibri" w:cs="Times New Roman"/>
                <w:color w:val="000000"/>
                <w:sz w:val="20"/>
                <w:szCs w:val="20"/>
              </w:rPr>
              <w:t xml:space="preserve"> (Source: CMS)</w:t>
            </w:r>
          </w:p>
        </w:tc>
      </w:tr>
      <w:tr w:rsidR="007E799D" w:rsidRPr="00F817A4" w:rsidTr="003D6BCC">
        <w:trPr>
          <w:trHeight w:hRule="exact" w:val="543"/>
          <w:tblHeader/>
        </w:trPr>
        <w:tc>
          <w:tcPr>
            <w:tcW w:w="1890" w:type="dxa"/>
            <w:shd w:val="clear" w:color="auto" w:fill="auto"/>
            <w:noWrap/>
          </w:tcPr>
          <w:p w:rsidR="007E799D" w:rsidRPr="00F817A4" w:rsidRDefault="007E799D" w:rsidP="007E799D">
            <w:pPr>
              <w:rPr>
                <w:rFonts w:ascii="Calibri" w:hAnsi="Calibri"/>
                <w:color w:val="000000"/>
                <w:sz w:val="20"/>
                <w:szCs w:val="20"/>
              </w:rPr>
            </w:pPr>
          </w:p>
        </w:tc>
        <w:tc>
          <w:tcPr>
            <w:tcW w:w="3060" w:type="dxa"/>
            <w:shd w:val="clear" w:color="auto" w:fill="auto"/>
            <w:noWrap/>
          </w:tcPr>
          <w:p w:rsidR="007E799D" w:rsidRPr="00F817A4" w:rsidRDefault="007E799D" w:rsidP="007E799D">
            <w:pPr>
              <w:spacing w:after="0" w:line="240" w:lineRule="auto"/>
              <w:rPr>
                <w:rFonts w:ascii="Calibri" w:eastAsia="Times New Roman" w:hAnsi="Calibri" w:cs="Times New Roman"/>
                <w:color w:val="000000"/>
                <w:sz w:val="20"/>
                <w:szCs w:val="20"/>
              </w:rPr>
            </w:pPr>
            <w:r w:rsidRPr="00F817A4">
              <w:rPr>
                <w:rFonts w:ascii="Calibri" w:eastAsia="Times New Roman" w:hAnsi="Calibri" w:cs="Times New Roman"/>
                <w:color w:val="000000"/>
                <w:sz w:val="20"/>
                <w:szCs w:val="20"/>
              </w:rPr>
              <w:t xml:space="preserve">Not </w:t>
            </w:r>
            <w:r w:rsidRPr="00F817A4">
              <w:rPr>
                <w:rFonts w:ascii="Calibri" w:hAnsi="Calibri"/>
                <w:color w:val="000000"/>
                <w:sz w:val="20"/>
                <w:szCs w:val="20"/>
              </w:rPr>
              <w:t>Medicaid Beneficiary</w:t>
            </w:r>
          </w:p>
        </w:tc>
        <w:tc>
          <w:tcPr>
            <w:tcW w:w="5238" w:type="dxa"/>
            <w:shd w:val="clear" w:color="auto" w:fill="auto"/>
            <w:noWrap/>
          </w:tcPr>
          <w:p w:rsidR="007E799D" w:rsidRPr="00F817A4" w:rsidRDefault="00EC08FF" w:rsidP="007E799D">
            <w:pPr>
              <w:spacing w:after="0" w:line="240" w:lineRule="auto"/>
              <w:rPr>
                <w:rFonts w:ascii="Calibri" w:eastAsia="Times New Roman" w:hAnsi="Calibri" w:cs="Times New Roman"/>
                <w:color w:val="000000"/>
                <w:sz w:val="20"/>
                <w:szCs w:val="20"/>
              </w:rPr>
            </w:pPr>
            <w:r w:rsidRPr="00EC08FF">
              <w:rPr>
                <w:rFonts w:ascii="Calibri" w:eastAsia="Times New Roman" w:hAnsi="Calibri" w:cs="Times New Roman"/>
                <w:color w:val="000000"/>
                <w:sz w:val="20"/>
                <w:szCs w:val="20"/>
              </w:rPr>
              <w:t xml:space="preserve">A person who </w:t>
            </w:r>
            <w:r>
              <w:rPr>
                <w:rFonts w:ascii="Calibri" w:eastAsia="Times New Roman" w:hAnsi="Calibri" w:cs="Times New Roman"/>
                <w:color w:val="000000"/>
                <w:sz w:val="20"/>
                <w:szCs w:val="20"/>
              </w:rPr>
              <w:t>does not have</w:t>
            </w:r>
            <w:r w:rsidRPr="00EC08FF">
              <w:rPr>
                <w:rFonts w:ascii="Calibri" w:eastAsia="Times New Roman" w:hAnsi="Calibri" w:cs="Times New Roman"/>
                <w:color w:val="000000"/>
                <w:sz w:val="20"/>
                <w:szCs w:val="20"/>
              </w:rPr>
              <w:t xml:space="preserve"> health care insurance through the Medicaid programs.</w:t>
            </w:r>
            <w:r w:rsidR="00C73E75">
              <w:rPr>
                <w:rFonts w:ascii="Calibri" w:eastAsia="Times New Roman" w:hAnsi="Calibri" w:cs="Times New Roman"/>
                <w:color w:val="000000"/>
                <w:sz w:val="20"/>
                <w:szCs w:val="20"/>
              </w:rPr>
              <w:t xml:space="preserve"> (Source: CMS)</w:t>
            </w:r>
          </w:p>
        </w:tc>
      </w:tr>
      <w:tr w:rsidR="007E799D" w:rsidRPr="00F817A4" w:rsidTr="003D6BCC">
        <w:trPr>
          <w:trHeight w:hRule="exact" w:val="1875"/>
          <w:tblHeader/>
        </w:trPr>
        <w:tc>
          <w:tcPr>
            <w:tcW w:w="1890" w:type="dxa"/>
            <w:shd w:val="clear" w:color="auto" w:fill="auto"/>
            <w:noWrap/>
          </w:tcPr>
          <w:p w:rsidR="007E799D" w:rsidRPr="00F817A4" w:rsidRDefault="007E799D" w:rsidP="007E799D">
            <w:pPr>
              <w:rPr>
                <w:rFonts w:ascii="Calibri" w:hAnsi="Calibri"/>
                <w:color w:val="000000"/>
                <w:sz w:val="20"/>
                <w:szCs w:val="20"/>
              </w:rPr>
            </w:pPr>
            <w:r w:rsidRPr="00F817A4">
              <w:rPr>
                <w:rFonts w:ascii="Calibri" w:hAnsi="Calibri"/>
                <w:color w:val="000000"/>
                <w:sz w:val="20"/>
                <w:szCs w:val="20"/>
              </w:rPr>
              <w:t>ADL Limitations</w:t>
            </w:r>
          </w:p>
        </w:tc>
        <w:tc>
          <w:tcPr>
            <w:tcW w:w="3060" w:type="dxa"/>
            <w:shd w:val="clear" w:color="auto" w:fill="auto"/>
            <w:noWrap/>
          </w:tcPr>
          <w:p w:rsidR="007E799D" w:rsidRPr="00F817A4" w:rsidRDefault="007E799D" w:rsidP="007E799D">
            <w:pPr>
              <w:spacing w:after="0" w:line="240" w:lineRule="auto"/>
              <w:rPr>
                <w:rFonts w:ascii="Calibri" w:eastAsia="Times New Roman" w:hAnsi="Calibri" w:cs="Times New Roman"/>
                <w:color w:val="000000"/>
                <w:sz w:val="20"/>
                <w:szCs w:val="20"/>
              </w:rPr>
            </w:pPr>
          </w:p>
        </w:tc>
        <w:tc>
          <w:tcPr>
            <w:tcW w:w="5238" w:type="dxa"/>
            <w:shd w:val="clear" w:color="auto" w:fill="auto"/>
            <w:noWrap/>
          </w:tcPr>
          <w:p w:rsidR="007E799D" w:rsidRDefault="00EC08FF" w:rsidP="00EC08FF">
            <w:pPr>
              <w:spacing w:after="0" w:line="240" w:lineRule="auto"/>
              <w:rPr>
                <w:rFonts w:ascii="Calibri" w:eastAsia="Times New Roman" w:hAnsi="Calibri" w:cs="Times New Roman"/>
                <w:color w:val="000000"/>
                <w:sz w:val="20"/>
                <w:szCs w:val="20"/>
              </w:rPr>
            </w:pPr>
            <w:r w:rsidRPr="00EC08FF">
              <w:rPr>
                <w:rFonts w:ascii="Calibri" w:eastAsia="Times New Roman" w:hAnsi="Calibri" w:cs="Times New Roman"/>
                <w:color w:val="000000"/>
                <w:sz w:val="20"/>
                <w:szCs w:val="20"/>
              </w:rPr>
              <w:t xml:space="preserve">Indicates the </w:t>
            </w:r>
            <w:r>
              <w:rPr>
                <w:rFonts w:ascii="Calibri" w:eastAsia="Times New Roman" w:hAnsi="Calibri" w:cs="Times New Roman"/>
                <w:color w:val="000000"/>
                <w:sz w:val="20"/>
                <w:szCs w:val="20"/>
              </w:rPr>
              <w:t>person’s</w:t>
            </w:r>
            <w:r w:rsidRPr="00EC08FF">
              <w:rPr>
                <w:rFonts w:ascii="Calibri" w:eastAsia="Times New Roman" w:hAnsi="Calibri" w:cs="Times New Roman"/>
                <w:color w:val="000000"/>
                <w:sz w:val="20"/>
                <w:szCs w:val="20"/>
              </w:rPr>
              <w:t xml:space="preserve"> total score on the Katz Index of Independence in</w:t>
            </w:r>
            <w:r>
              <w:rPr>
                <w:rFonts w:ascii="Calibri" w:eastAsia="Times New Roman" w:hAnsi="Calibri" w:cs="Times New Roman"/>
                <w:color w:val="000000"/>
                <w:sz w:val="20"/>
                <w:szCs w:val="20"/>
              </w:rPr>
              <w:t xml:space="preserve"> </w:t>
            </w:r>
            <w:r w:rsidRPr="00EC08FF">
              <w:rPr>
                <w:rFonts w:ascii="Calibri" w:eastAsia="Times New Roman" w:hAnsi="Calibri" w:cs="Times New Roman"/>
                <w:color w:val="000000"/>
                <w:sz w:val="20"/>
                <w:szCs w:val="20"/>
              </w:rPr>
              <w:t>Activities of Daily Living (ADL). Permissible values are 0-6.</w:t>
            </w:r>
          </w:p>
          <w:p w:rsidR="00A96493" w:rsidRDefault="00A96493" w:rsidP="00A96493">
            <w:pPr>
              <w:spacing w:after="0" w:line="240" w:lineRule="auto"/>
            </w:pPr>
            <w:r>
              <w:t xml:space="preserve">A limitation is defined as unable to perform the activity without substantial assistance (including verbal reminding, physical cuing, or supervision). </w:t>
            </w:r>
          </w:p>
          <w:p w:rsidR="00A96493" w:rsidRPr="00F817A4" w:rsidRDefault="00A96493" w:rsidP="00A96493">
            <w:pPr>
              <w:spacing w:after="0" w:line="240" w:lineRule="auto"/>
              <w:rPr>
                <w:rFonts w:ascii="Calibri" w:eastAsia="Times New Roman" w:hAnsi="Calibri" w:cs="Times New Roman"/>
                <w:color w:val="000000"/>
                <w:sz w:val="20"/>
                <w:szCs w:val="20"/>
              </w:rPr>
            </w:pPr>
            <w:r>
              <w:t>(Source: NAMRs/OAA)</w:t>
            </w:r>
          </w:p>
        </w:tc>
      </w:tr>
      <w:tr w:rsidR="007E799D" w:rsidRPr="00F817A4" w:rsidTr="003D6BCC">
        <w:trPr>
          <w:trHeight w:hRule="exact" w:val="288"/>
          <w:tblHeader/>
        </w:trPr>
        <w:tc>
          <w:tcPr>
            <w:tcW w:w="1890" w:type="dxa"/>
            <w:shd w:val="clear" w:color="auto" w:fill="auto"/>
            <w:noWrap/>
          </w:tcPr>
          <w:p w:rsidR="007E799D" w:rsidRPr="00F817A4" w:rsidRDefault="007E799D" w:rsidP="007E799D">
            <w:pPr>
              <w:rPr>
                <w:rFonts w:ascii="Calibri" w:hAnsi="Calibri"/>
                <w:color w:val="000000"/>
                <w:sz w:val="20"/>
                <w:szCs w:val="20"/>
              </w:rPr>
            </w:pPr>
          </w:p>
        </w:tc>
        <w:tc>
          <w:tcPr>
            <w:tcW w:w="3060" w:type="dxa"/>
            <w:shd w:val="clear" w:color="auto" w:fill="auto"/>
            <w:noWrap/>
          </w:tcPr>
          <w:p w:rsidR="007E799D" w:rsidRPr="00F817A4" w:rsidRDefault="007E799D" w:rsidP="007E799D">
            <w:pPr>
              <w:rPr>
                <w:rFonts w:ascii="Calibri" w:hAnsi="Calibri"/>
                <w:color w:val="000000"/>
                <w:sz w:val="20"/>
                <w:szCs w:val="20"/>
              </w:rPr>
            </w:pPr>
            <w:r w:rsidRPr="00F817A4">
              <w:rPr>
                <w:rFonts w:ascii="Calibri" w:hAnsi="Calibri"/>
                <w:color w:val="000000"/>
                <w:sz w:val="20"/>
                <w:szCs w:val="20"/>
              </w:rPr>
              <w:t>0</w:t>
            </w:r>
          </w:p>
        </w:tc>
        <w:tc>
          <w:tcPr>
            <w:tcW w:w="5238" w:type="dxa"/>
            <w:shd w:val="clear" w:color="auto" w:fill="auto"/>
            <w:noWrap/>
          </w:tcPr>
          <w:p w:rsidR="007E799D" w:rsidRPr="00F817A4" w:rsidRDefault="00642887" w:rsidP="007E799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Indicates a person has no ADL limitations</w:t>
            </w:r>
          </w:p>
        </w:tc>
      </w:tr>
      <w:tr w:rsidR="007E799D" w:rsidRPr="00F817A4" w:rsidTr="003D6BCC">
        <w:trPr>
          <w:trHeight w:hRule="exact" w:val="288"/>
          <w:tblHeader/>
        </w:trPr>
        <w:tc>
          <w:tcPr>
            <w:tcW w:w="1890" w:type="dxa"/>
            <w:shd w:val="clear" w:color="auto" w:fill="auto"/>
            <w:noWrap/>
          </w:tcPr>
          <w:p w:rsidR="007E799D" w:rsidRPr="00F817A4" w:rsidRDefault="007E799D" w:rsidP="007E799D">
            <w:pPr>
              <w:rPr>
                <w:rFonts w:ascii="Calibri" w:hAnsi="Calibri"/>
                <w:color w:val="000000"/>
                <w:sz w:val="20"/>
                <w:szCs w:val="20"/>
              </w:rPr>
            </w:pPr>
          </w:p>
        </w:tc>
        <w:tc>
          <w:tcPr>
            <w:tcW w:w="3060" w:type="dxa"/>
            <w:shd w:val="clear" w:color="auto" w:fill="auto"/>
            <w:noWrap/>
          </w:tcPr>
          <w:p w:rsidR="007E799D" w:rsidRPr="00F817A4" w:rsidRDefault="007E799D" w:rsidP="007E799D">
            <w:pPr>
              <w:rPr>
                <w:rFonts w:ascii="Calibri" w:hAnsi="Calibri"/>
                <w:color w:val="000000"/>
                <w:sz w:val="20"/>
                <w:szCs w:val="20"/>
              </w:rPr>
            </w:pPr>
            <w:r w:rsidRPr="00F817A4">
              <w:rPr>
                <w:rFonts w:ascii="Calibri" w:hAnsi="Calibri"/>
                <w:color w:val="000000"/>
                <w:sz w:val="20"/>
                <w:szCs w:val="20"/>
              </w:rPr>
              <w:t>1-2</w:t>
            </w:r>
          </w:p>
        </w:tc>
        <w:tc>
          <w:tcPr>
            <w:tcW w:w="5238" w:type="dxa"/>
            <w:shd w:val="clear" w:color="auto" w:fill="auto"/>
            <w:noWrap/>
          </w:tcPr>
          <w:p w:rsidR="007E799D" w:rsidRPr="00F817A4" w:rsidRDefault="00642887" w:rsidP="007E799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Indicates a person has between 1 to 2 ADL limitations</w:t>
            </w:r>
          </w:p>
        </w:tc>
      </w:tr>
      <w:tr w:rsidR="007E799D" w:rsidRPr="00F817A4" w:rsidTr="003D6BCC">
        <w:trPr>
          <w:trHeight w:hRule="exact" w:val="288"/>
          <w:tblHeader/>
        </w:trPr>
        <w:tc>
          <w:tcPr>
            <w:tcW w:w="1890" w:type="dxa"/>
            <w:shd w:val="clear" w:color="auto" w:fill="auto"/>
            <w:noWrap/>
          </w:tcPr>
          <w:p w:rsidR="007E799D" w:rsidRPr="00F817A4" w:rsidRDefault="007E799D" w:rsidP="007E799D">
            <w:pPr>
              <w:rPr>
                <w:rFonts w:ascii="Calibri" w:hAnsi="Calibri"/>
                <w:color w:val="000000"/>
                <w:sz w:val="20"/>
                <w:szCs w:val="20"/>
              </w:rPr>
            </w:pPr>
          </w:p>
        </w:tc>
        <w:tc>
          <w:tcPr>
            <w:tcW w:w="3060" w:type="dxa"/>
            <w:shd w:val="clear" w:color="auto" w:fill="auto"/>
            <w:noWrap/>
          </w:tcPr>
          <w:p w:rsidR="007E799D" w:rsidRPr="00F817A4" w:rsidRDefault="007E799D" w:rsidP="007E799D">
            <w:pPr>
              <w:rPr>
                <w:rFonts w:ascii="Calibri" w:hAnsi="Calibri"/>
                <w:color w:val="000000"/>
                <w:sz w:val="20"/>
                <w:szCs w:val="20"/>
              </w:rPr>
            </w:pPr>
            <w:r w:rsidRPr="00F817A4">
              <w:rPr>
                <w:rFonts w:ascii="Calibri" w:hAnsi="Calibri"/>
                <w:color w:val="000000"/>
                <w:sz w:val="20"/>
                <w:szCs w:val="20"/>
              </w:rPr>
              <w:t>3+</w:t>
            </w:r>
          </w:p>
        </w:tc>
        <w:tc>
          <w:tcPr>
            <w:tcW w:w="5238" w:type="dxa"/>
            <w:shd w:val="clear" w:color="auto" w:fill="auto"/>
            <w:noWrap/>
          </w:tcPr>
          <w:p w:rsidR="007E799D" w:rsidRPr="00F817A4" w:rsidRDefault="00642887" w:rsidP="007E799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Indicates a person have 3 or more ADL limitations</w:t>
            </w:r>
          </w:p>
        </w:tc>
      </w:tr>
      <w:tr w:rsidR="007E799D" w:rsidRPr="00F817A4" w:rsidTr="003D6BCC">
        <w:trPr>
          <w:trHeight w:hRule="exact" w:val="1830"/>
          <w:tblHeader/>
        </w:trPr>
        <w:tc>
          <w:tcPr>
            <w:tcW w:w="1890" w:type="dxa"/>
            <w:shd w:val="clear" w:color="auto" w:fill="auto"/>
            <w:noWrap/>
          </w:tcPr>
          <w:p w:rsidR="007E799D" w:rsidRPr="00F817A4" w:rsidRDefault="007E799D" w:rsidP="007E799D">
            <w:pPr>
              <w:rPr>
                <w:rFonts w:ascii="Calibri" w:hAnsi="Calibri"/>
                <w:color w:val="000000"/>
                <w:sz w:val="20"/>
                <w:szCs w:val="20"/>
              </w:rPr>
            </w:pPr>
            <w:r w:rsidRPr="00F817A4">
              <w:rPr>
                <w:rFonts w:ascii="Calibri" w:hAnsi="Calibri"/>
                <w:color w:val="000000"/>
                <w:sz w:val="20"/>
                <w:szCs w:val="20"/>
              </w:rPr>
              <w:t>IADL Limitations</w:t>
            </w:r>
          </w:p>
        </w:tc>
        <w:tc>
          <w:tcPr>
            <w:tcW w:w="3060" w:type="dxa"/>
            <w:shd w:val="clear" w:color="auto" w:fill="auto"/>
            <w:noWrap/>
          </w:tcPr>
          <w:p w:rsidR="007E799D" w:rsidRPr="00F817A4" w:rsidRDefault="007E799D" w:rsidP="007E799D">
            <w:pPr>
              <w:spacing w:after="0" w:line="240" w:lineRule="auto"/>
              <w:rPr>
                <w:rFonts w:ascii="Calibri" w:eastAsia="Times New Roman" w:hAnsi="Calibri" w:cs="Times New Roman"/>
                <w:color w:val="000000"/>
                <w:sz w:val="20"/>
                <w:szCs w:val="20"/>
              </w:rPr>
            </w:pPr>
          </w:p>
        </w:tc>
        <w:tc>
          <w:tcPr>
            <w:tcW w:w="5238" w:type="dxa"/>
            <w:shd w:val="clear" w:color="auto" w:fill="auto"/>
            <w:noWrap/>
          </w:tcPr>
          <w:p w:rsidR="007E799D" w:rsidRDefault="00EC08FF" w:rsidP="00EC08FF">
            <w:pPr>
              <w:spacing w:after="0" w:line="240" w:lineRule="auto"/>
              <w:rPr>
                <w:rFonts w:ascii="Calibri" w:eastAsia="Times New Roman" w:hAnsi="Calibri" w:cs="Times New Roman"/>
                <w:color w:val="000000"/>
                <w:sz w:val="20"/>
                <w:szCs w:val="20"/>
              </w:rPr>
            </w:pPr>
            <w:r w:rsidRPr="00EC08FF">
              <w:rPr>
                <w:rFonts w:ascii="Calibri" w:eastAsia="Times New Roman" w:hAnsi="Calibri" w:cs="Times New Roman"/>
                <w:color w:val="000000"/>
                <w:sz w:val="20"/>
                <w:szCs w:val="20"/>
              </w:rPr>
              <w:t xml:space="preserve">Indicates the </w:t>
            </w:r>
            <w:r>
              <w:rPr>
                <w:rFonts w:ascii="Calibri" w:eastAsia="Times New Roman" w:hAnsi="Calibri" w:cs="Times New Roman"/>
                <w:color w:val="000000"/>
                <w:sz w:val="20"/>
                <w:szCs w:val="20"/>
              </w:rPr>
              <w:t>person’s</w:t>
            </w:r>
            <w:r w:rsidRPr="00EC08FF">
              <w:rPr>
                <w:rFonts w:ascii="Calibri" w:eastAsia="Times New Roman" w:hAnsi="Calibri" w:cs="Times New Roman"/>
                <w:color w:val="000000"/>
                <w:sz w:val="20"/>
                <w:szCs w:val="20"/>
              </w:rPr>
              <w:t xml:space="preserve"> total score on the La</w:t>
            </w:r>
            <w:r>
              <w:rPr>
                <w:rFonts w:ascii="Calibri" w:eastAsia="Times New Roman" w:hAnsi="Calibri" w:cs="Times New Roman"/>
                <w:color w:val="000000"/>
                <w:sz w:val="20"/>
                <w:szCs w:val="20"/>
              </w:rPr>
              <w:t xml:space="preserve">wton Instrumental Activities of </w:t>
            </w:r>
            <w:r w:rsidRPr="00EC08FF">
              <w:rPr>
                <w:rFonts w:ascii="Calibri" w:eastAsia="Times New Roman" w:hAnsi="Calibri" w:cs="Times New Roman"/>
                <w:color w:val="000000"/>
                <w:sz w:val="20"/>
                <w:szCs w:val="20"/>
              </w:rPr>
              <w:t>Daily Living (IADL). Permissible values are 0-8.</w:t>
            </w:r>
          </w:p>
          <w:p w:rsidR="00A96493" w:rsidRDefault="00A96493" w:rsidP="00EC08FF">
            <w:pPr>
              <w:spacing w:after="0" w:line="240" w:lineRule="auto"/>
              <w:rPr>
                <w:rFonts w:ascii="Calibri" w:eastAsia="Times New Roman" w:hAnsi="Calibri" w:cs="Times New Roman"/>
                <w:color w:val="000000"/>
                <w:sz w:val="20"/>
                <w:szCs w:val="20"/>
              </w:rPr>
            </w:pPr>
          </w:p>
          <w:p w:rsidR="00A96493" w:rsidRDefault="00A96493" w:rsidP="00EC08FF">
            <w:pPr>
              <w:spacing w:after="0" w:line="240" w:lineRule="auto"/>
            </w:pPr>
            <w:r>
              <w:t xml:space="preserve">A limitation is defined as unable to perform the activity without substantial assistance (including verbal reminding, physical cuing, or supervision). </w:t>
            </w:r>
          </w:p>
          <w:p w:rsidR="00A96493" w:rsidRPr="00F817A4" w:rsidRDefault="00A96493" w:rsidP="00EC08FF">
            <w:pPr>
              <w:spacing w:after="0" w:line="240" w:lineRule="auto"/>
              <w:rPr>
                <w:rFonts w:ascii="Calibri" w:eastAsia="Times New Roman" w:hAnsi="Calibri" w:cs="Times New Roman"/>
                <w:color w:val="000000"/>
                <w:sz w:val="20"/>
                <w:szCs w:val="20"/>
              </w:rPr>
            </w:pPr>
            <w:r>
              <w:t>(Source: NAMRs/OAA)</w:t>
            </w:r>
          </w:p>
        </w:tc>
      </w:tr>
      <w:tr w:rsidR="00642887" w:rsidRPr="00F817A4" w:rsidTr="003D6BCC">
        <w:trPr>
          <w:trHeight w:hRule="exact" w:val="288"/>
          <w:tblHeader/>
        </w:trPr>
        <w:tc>
          <w:tcPr>
            <w:tcW w:w="1890" w:type="dxa"/>
            <w:shd w:val="clear" w:color="auto" w:fill="auto"/>
            <w:noWrap/>
          </w:tcPr>
          <w:p w:rsidR="00642887" w:rsidRPr="00F817A4" w:rsidRDefault="00642887" w:rsidP="007E799D">
            <w:pPr>
              <w:rPr>
                <w:rFonts w:ascii="Calibri" w:hAnsi="Calibri"/>
                <w:color w:val="000000"/>
                <w:sz w:val="20"/>
                <w:szCs w:val="20"/>
              </w:rPr>
            </w:pPr>
          </w:p>
        </w:tc>
        <w:tc>
          <w:tcPr>
            <w:tcW w:w="3060" w:type="dxa"/>
            <w:shd w:val="clear" w:color="auto" w:fill="auto"/>
            <w:noWrap/>
          </w:tcPr>
          <w:p w:rsidR="00642887" w:rsidRPr="00F817A4" w:rsidRDefault="00642887" w:rsidP="007E799D">
            <w:pPr>
              <w:rPr>
                <w:rFonts w:ascii="Calibri" w:hAnsi="Calibri"/>
                <w:color w:val="000000"/>
                <w:sz w:val="20"/>
                <w:szCs w:val="20"/>
              </w:rPr>
            </w:pPr>
            <w:r w:rsidRPr="00F817A4">
              <w:rPr>
                <w:rFonts w:ascii="Calibri" w:hAnsi="Calibri"/>
                <w:color w:val="000000"/>
                <w:sz w:val="20"/>
                <w:szCs w:val="20"/>
              </w:rPr>
              <w:t>0</w:t>
            </w:r>
          </w:p>
        </w:tc>
        <w:tc>
          <w:tcPr>
            <w:tcW w:w="5238" w:type="dxa"/>
            <w:shd w:val="clear" w:color="auto" w:fill="auto"/>
            <w:noWrap/>
          </w:tcPr>
          <w:p w:rsidR="00642887" w:rsidRPr="00F817A4" w:rsidRDefault="00642887" w:rsidP="00A30ED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Indicates a person has no IADL limitations</w:t>
            </w:r>
          </w:p>
        </w:tc>
      </w:tr>
      <w:tr w:rsidR="00642887" w:rsidRPr="00F817A4" w:rsidTr="003D6BCC">
        <w:trPr>
          <w:trHeight w:hRule="exact" w:val="288"/>
          <w:tblHeader/>
        </w:trPr>
        <w:tc>
          <w:tcPr>
            <w:tcW w:w="1890" w:type="dxa"/>
            <w:shd w:val="clear" w:color="auto" w:fill="auto"/>
            <w:noWrap/>
          </w:tcPr>
          <w:p w:rsidR="00642887" w:rsidRPr="00F817A4" w:rsidRDefault="00642887" w:rsidP="007E799D">
            <w:pPr>
              <w:rPr>
                <w:rFonts w:ascii="Calibri" w:hAnsi="Calibri"/>
                <w:color w:val="000000"/>
                <w:sz w:val="20"/>
                <w:szCs w:val="20"/>
              </w:rPr>
            </w:pPr>
          </w:p>
        </w:tc>
        <w:tc>
          <w:tcPr>
            <w:tcW w:w="3060" w:type="dxa"/>
            <w:shd w:val="clear" w:color="auto" w:fill="auto"/>
            <w:noWrap/>
          </w:tcPr>
          <w:p w:rsidR="00642887" w:rsidRPr="00F817A4" w:rsidRDefault="00642887" w:rsidP="007E799D">
            <w:pPr>
              <w:rPr>
                <w:rFonts w:ascii="Calibri" w:hAnsi="Calibri"/>
                <w:color w:val="000000"/>
                <w:sz w:val="20"/>
                <w:szCs w:val="20"/>
              </w:rPr>
            </w:pPr>
            <w:r w:rsidRPr="00F817A4">
              <w:rPr>
                <w:rFonts w:ascii="Calibri" w:hAnsi="Calibri"/>
                <w:color w:val="000000"/>
                <w:sz w:val="20"/>
                <w:szCs w:val="20"/>
              </w:rPr>
              <w:t>1-2</w:t>
            </w:r>
          </w:p>
        </w:tc>
        <w:tc>
          <w:tcPr>
            <w:tcW w:w="5238" w:type="dxa"/>
            <w:shd w:val="clear" w:color="auto" w:fill="auto"/>
            <w:noWrap/>
          </w:tcPr>
          <w:p w:rsidR="00642887" w:rsidRPr="00F817A4" w:rsidRDefault="00642887" w:rsidP="00A30ED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Indicates a person has between 1 to 2 IADL limitations</w:t>
            </w:r>
          </w:p>
        </w:tc>
      </w:tr>
      <w:tr w:rsidR="00642887" w:rsidRPr="00F817A4" w:rsidTr="003D6BCC">
        <w:trPr>
          <w:trHeight w:hRule="exact" w:val="288"/>
          <w:tblHeader/>
        </w:trPr>
        <w:tc>
          <w:tcPr>
            <w:tcW w:w="1890" w:type="dxa"/>
            <w:shd w:val="clear" w:color="auto" w:fill="auto"/>
            <w:noWrap/>
          </w:tcPr>
          <w:p w:rsidR="00642887" w:rsidRPr="00F817A4" w:rsidRDefault="00642887" w:rsidP="007E799D">
            <w:pPr>
              <w:rPr>
                <w:rFonts w:ascii="Calibri" w:hAnsi="Calibri"/>
                <w:color w:val="000000"/>
                <w:sz w:val="20"/>
                <w:szCs w:val="20"/>
              </w:rPr>
            </w:pPr>
          </w:p>
        </w:tc>
        <w:tc>
          <w:tcPr>
            <w:tcW w:w="3060" w:type="dxa"/>
            <w:shd w:val="clear" w:color="auto" w:fill="auto"/>
            <w:noWrap/>
          </w:tcPr>
          <w:p w:rsidR="00642887" w:rsidRPr="00F817A4" w:rsidRDefault="00642887" w:rsidP="007E799D">
            <w:pPr>
              <w:rPr>
                <w:rFonts w:ascii="Calibri" w:hAnsi="Calibri"/>
                <w:color w:val="000000"/>
                <w:sz w:val="20"/>
                <w:szCs w:val="20"/>
              </w:rPr>
            </w:pPr>
            <w:r w:rsidRPr="00F817A4">
              <w:rPr>
                <w:rFonts w:ascii="Calibri" w:hAnsi="Calibri"/>
                <w:color w:val="000000"/>
                <w:sz w:val="20"/>
                <w:szCs w:val="20"/>
              </w:rPr>
              <w:t>3+</w:t>
            </w:r>
          </w:p>
        </w:tc>
        <w:tc>
          <w:tcPr>
            <w:tcW w:w="5238" w:type="dxa"/>
            <w:shd w:val="clear" w:color="auto" w:fill="auto"/>
            <w:noWrap/>
          </w:tcPr>
          <w:p w:rsidR="00642887" w:rsidRPr="00F817A4" w:rsidRDefault="00642887" w:rsidP="00A30ED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Indicates a person have 3 or more IADL limitations</w:t>
            </w:r>
          </w:p>
        </w:tc>
      </w:tr>
      <w:tr w:rsidR="007E799D" w:rsidRPr="00F817A4" w:rsidTr="00A31B50">
        <w:trPr>
          <w:trHeight w:hRule="exact" w:val="984"/>
          <w:tblHeader/>
        </w:trPr>
        <w:tc>
          <w:tcPr>
            <w:tcW w:w="1890" w:type="dxa"/>
            <w:shd w:val="clear" w:color="auto" w:fill="auto"/>
            <w:noWrap/>
          </w:tcPr>
          <w:p w:rsidR="007E799D" w:rsidRPr="00F817A4" w:rsidRDefault="007E799D" w:rsidP="00557F5E">
            <w:pPr>
              <w:rPr>
                <w:rFonts w:ascii="Calibri" w:hAnsi="Calibri"/>
                <w:color w:val="000000"/>
                <w:sz w:val="20"/>
                <w:szCs w:val="20"/>
              </w:rPr>
            </w:pPr>
            <w:r w:rsidRPr="00F817A4">
              <w:rPr>
                <w:rFonts w:ascii="Calibri" w:hAnsi="Calibri"/>
                <w:color w:val="000000"/>
                <w:sz w:val="20"/>
                <w:szCs w:val="20"/>
              </w:rPr>
              <w:t xml:space="preserve">Nutrition Risk Score </w:t>
            </w:r>
          </w:p>
        </w:tc>
        <w:tc>
          <w:tcPr>
            <w:tcW w:w="3060" w:type="dxa"/>
            <w:shd w:val="clear" w:color="auto" w:fill="auto"/>
            <w:noWrap/>
          </w:tcPr>
          <w:p w:rsidR="007E799D" w:rsidRPr="00F817A4" w:rsidRDefault="007E799D" w:rsidP="007E799D">
            <w:pPr>
              <w:spacing w:after="0" w:line="240" w:lineRule="auto"/>
              <w:rPr>
                <w:rFonts w:ascii="Calibri" w:eastAsia="Times New Roman" w:hAnsi="Calibri" w:cs="Times New Roman"/>
                <w:color w:val="000000"/>
                <w:sz w:val="20"/>
                <w:szCs w:val="20"/>
              </w:rPr>
            </w:pPr>
          </w:p>
        </w:tc>
        <w:tc>
          <w:tcPr>
            <w:tcW w:w="5238" w:type="dxa"/>
            <w:shd w:val="clear" w:color="auto" w:fill="auto"/>
            <w:noWrap/>
          </w:tcPr>
          <w:p w:rsidR="007E799D" w:rsidRPr="00F817A4" w:rsidRDefault="00EC08FF" w:rsidP="007E799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Indicates the person’s total score on the </w:t>
            </w:r>
            <w:r w:rsidR="00557F5E">
              <w:rPr>
                <w:rFonts w:ascii="Calibri" w:eastAsia="Times New Roman" w:hAnsi="Calibri" w:cs="Times New Roman"/>
                <w:color w:val="000000"/>
                <w:sz w:val="20"/>
                <w:szCs w:val="20"/>
              </w:rPr>
              <w:t>DETERMINE your Nutritional Risk checklist published by the Nutrition Screening Initiative.</w:t>
            </w:r>
            <w:r w:rsidR="00C73E75">
              <w:rPr>
                <w:rFonts w:ascii="Calibri" w:eastAsia="Times New Roman" w:hAnsi="Calibri" w:cs="Times New Roman"/>
                <w:color w:val="000000"/>
                <w:sz w:val="20"/>
                <w:szCs w:val="20"/>
              </w:rPr>
              <w:t xml:space="preserve"> (Source: current SPR)</w:t>
            </w:r>
          </w:p>
        </w:tc>
      </w:tr>
      <w:tr w:rsidR="007E799D" w:rsidRPr="00F817A4" w:rsidTr="00A31B50">
        <w:trPr>
          <w:trHeight w:hRule="exact" w:val="408"/>
          <w:tblHeader/>
        </w:trPr>
        <w:tc>
          <w:tcPr>
            <w:tcW w:w="1890" w:type="dxa"/>
            <w:shd w:val="clear" w:color="auto" w:fill="auto"/>
            <w:noWrap/>
          </w:tcPr>
          <w:p w:rsidR="007E799D" w:rsidRPr="00F817A4" w:rsidRDefault="007E799D" w:rsidP="007E799D">
            <w:pPr>
              <w:rPr>
                <w:rFonts w:ascii="Calibri" w:hAnsi="Calibri"/>
                <w:color w:val="000000"/>
                <w:sz w:val="20"/>
                <w:szCs w:val="20"/>
              </w:rPr>
            </w:pPr>
          </w:p>
        </w:tc>
        <w:tc>
          <w:tcPr>
            <w:tcW w:w="3060" w:type="dxa"/>
            <w:shd w:val="clear" w:color="auto" w:fill="auto"/>
            <w:noWrap/>
          </w:tcPr>
          <w:p w:rsidR="007E799D" w:rsidRPr="00F817A4" w:rsidRDefault="007E799D" w:rsidP="007E799D">
            <w:pPr>
              <w:rPr>
                <w:rFonts w:ascii="Calibri" w:hAnsi="Calibri"/>
                <w:color w:val="000000"/>
                <w:sz w:val="20"/>
                <w:szCs w:val="20"/>
              </w:rPr>
            </w:pPr>
            <w:r w:rsidRPr="00F817A4">
              <w:rPr>
                <w:rFonts w:ascii="Calibri" w:hAnsi="Calibri"/>
                <w:color w:val="000000"/>
                <w:sz w:val="20"/>
                <w:szCs w:val="20"/>
              </w:rPr>
              <w:t>0-5</w:t>
            </w:r>
          </w:p>
        </w:tc>
        <w:tc>
          <w:tcPr>
            <w:tcW w:w="5238" w:type="dxa"/>
            <w:shd w:val="clear" w:color="auto" w:fill="auto"/>
            <w:noWrap/>
          </w:tcPr>
          <w:p w:rsidR="007E799D" w:rsidRPr="00F817A4" w:rsidRDefault="00642887" w:rsidP="007E799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Indicates a person’s Nutrition Risk Score is between 0 and 5.</w:t>
            </w:r>
          </w:p>
        </w:tc>
      </w:tr>
      <w:tr w:rsidR="00642887" w:rsidRPr="00F817A4" w:rsidTr="00A31B50">
        <w:trPr>
          <w:trHeight w:hRule="exact" w:val="480"/>
          <w:tblHeader/>
        </w:trPr>
        <w:tc>
          <w:tcPr>
            <w:tcW w:w="1890" w:type="dxa"/>
            <w:shd w:val="clear" w:color="auto" w:fill="auto"/>
            <w:noWrap/>
          </w:tcPr>
          <w:p w:rsidR="00642887" w:rsidRPr="00F817A4" w:rsidRDefault="00642887" w:rsidP="007E799D">
            <w:pPr>
              <w:rPr>
                <w:rFonts w:ascii="Calibri" w:hAnsi="Calibri"/>
                <w:color w:val="000000"/>
                <w:sz w:val="20"/>
                <w:szCs w:val="20"/>
              </w:rPr>
            </w:pPr>
          </w:p>
        </w:tc>
        <w:tc>
          <w:tcPr>
            <w:tcW w:w="3060" w:type="dxa"/>
            <w:shd w:val="clear" w:color="auto" w:fill="auto"/>
            <w:noWrap/>
          </w:tcPr>
          <w:p w:rsidR="00642887" w:rsidRPr="00F817A4" w:rsidRDefault="00642887" w:rsidP="007E799D">
            <w:pPr>
              <w:rPr>
                <w:rFonts w:ascii="Calibri" w:hAnsi="Calibri"/>
                <w:color w:val="000000"/>
                <w:sz w:val="20"/>
                <w:szCs w:val="20"/>
              </w:rPr>
            </w:pPr>
            <w:r w:rsidRPr="00F817A4">
              <w:rPr>
                <w:rFonts w:ascii="Calibri" w:hAnsi="Calibri"/>
                <w:color w:val="000000"/>
                <w:sz w:val="20"/>
                <w:szCs w:val="20"/>
              </w:rPr>
              <w:t>6+</w:t>
            </w:r>
          </w:p>
        </w:tc>
        <w:tc>
          <w:tcPr>
            <w:tcW w:w="5238" w:type="dxa"/>
            <w:shd w:val="clear" w:color="auto" w:fill="auto"/>
            <w:noWrap/>
          </w:tcPr>
          <w:p w:rsidR="00642887" w:rsidRDefault="00642887" w:rsidP="0064288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Indicates a person’s Nutrition Risk Score is 6 or more.</w:t>
            </w:r>
          </w:p>
          <w:p w:rsidR="00A31B50" w:rsidRDefault="00A31B50" w:rsidP="00642887">
            <w:pPr>
              <w:spacing w:after="0" w:line="240" w:lineRule="auto"/>
              <w:rPr>
                <w:rFonts w:ascii="Calibri" w:eastAsia="Times New Roman" w:hAnsi="Calibri" w:cs="Times New Roman"/>
                <w:color w:val="000000"/>
                <w:sz w:val="20"/>
                <w:szCs w:val="20"/>
              </w:rPr>
            </w:pPr>
          </w:p>
          <w:p w:rsidR="00A31B50" w:rsidRDefault="00A31B50" w:rsidP="00642887">
            <w:pPr>
              <w:spacing w:after="0" w:line="240" w:lineRule="auto"/>
              <w:rPr>
                <w:rFonts w:ascii="Calibri" w:eastAsia="Times New Roman" w:hAnsi="Calibri" w:cs="Times New Roman"/>
                <w:color w:val="000000"/>
                <w:sz w:val="20"/>
                <w:szCs w:val="20"/>
              </w:rPr>
            </w:pPr>
          </w:p>
          <w:p w:rsidR="00A31B50" w:rsidRPr="00F817A4" w:rsidRDefault="00A31B50" w:rsidP="00642887">
            <w:pPr>
              <w:spacing w:after="0" w:line="240" w:lineRule="auto"/>
              <w:rPr>
                <w:rFonts w:ascii="Calibri" w:eastAsia="Times New Roman" w:hAnsi="Calibri" w:cs="Times New Roman"/>
                <w:color w:val="000000"/>
                <w:sz w:val="20"/>
                <w:szCs w:val="20"/>
              </w:rPr>
            </w:pPr>
          </w:p>
        </w:tc>
      </w:tr>
    </w:tbl>
    <w:p w:rsidR="002D5F6B" w:rsidRDefault="002D5F6B"/>
    <w:tbl>
      <w:tblPr>
        <w:tblW w:w="101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90"/>
        <w:gridCol w:w="3060"/>
        <w:gridCol w:w="5238"/>
      </w:tblGrid>
      <w:tr w:rsidR="00A31B50" w:rsidRPr="00F817A4" w:rsidTr="00EE18E0">
        <w:trPr>
          <w:trHeight w:hRule="exact" w:val="288"/>
          <w:tblHeader/>
        </w:trPr>
        <w:tc>
          <w:tcPr>
            <w:tcW w:w="1890" w:type="dxa"/>
            <w:shd w:val="clear" w:color="auto" w:fill="auto"/>
            <w:noWrap/>
            <w:hideMark/>
          </w:tcPr>
          <w:p w:rsidR="00A31B50" w:rsidRPr="008A71E1" w:rsidRDefault="00A31B50" w:rsidP="00EE18E0">
            <w:pPr>
              <w:spacing w:after="0" w:line="240" w:lineRule="auto"/>
              <w:rPr>
                <w:rFonts w:ascii="Calibri" w:eastAsia="Times New Roman" w:hAnsi="Calibri" w:cs="Times New Roman"/>
                <w:color w:val="000000"/>
                <w:sz w:val="20"/>
                <w:szCs w:val="20"/>
              </w:rPr>
            </w:pPr>
            <w:r w:rsidRPr="00F817A4">
              <w:rPr>
                <w:rFonts w:ascii="Calibri" w:eastAsia="Times New Roman" w:hAnsi="Calibri" w:cs="Times New Roman"/>
                <w:color w:val="000000"/>
                <w:sz w:val="20"/>
                <w:szCs w:val="20"/>
              </w:rPr>
              <w:t xml:space="preserve">Data </w:t>
            </w:r>
            <w:r w:rsidRPr="008A71E1">
              <w:rPr>
                <w:rFonts w:ascii="Calibri" w:eastAsia="Times New Roman" w:hAnsi="Calibri" w:cs="Times New Roman"/>
                <w:color w:val="000000"/>
                <w:sz w:val="20"/>
                <w:szCs w:val="20"/>
              </w:rPr>
              <w:t>Element</w:t>
            </w:r>
          </w:p>
        </w:tc>
        <w:tc>
          <w:tcPr>
            <w:tcW w:w="3060" w:type="dxa"/>
            <w:shd w:val="clear" w:color="auto" w:fill="auto"/>
            <w:noWrap/>
            <w:hideMark/>
          </w:tcPr>
          <w:p w:rsidR="00A31B50" w:rsidRPr="008A71E1" w:rsidRDefault="00A31B50" w:rsidP="00EE18E0">
            <w:pPr>
              <w:spacing w:after="0" w:line="240" w:lineRule="auto"/>
              <w:rPr>
                <w:rFonts w:ascii="Calibri" w:eastAsia="Times New Roman" w:hAnsi="Calibri" w:cs="Times New Roman"/>
                <w:color w:val="000000"/>
                <w:sz w:val="20"/>
                <w:szCs w:val="20"/>
              </w:rPr>
            </w:pPr>
            <w:r w:rsidRPr="008A71E1">
              <w:rPr>
                <w:rFonts w:ascii="Calibri" w:eastAsia="Times New Roman" w:hAnsi="Calibri" w:cs="Times New Roman"/>
                <w:color w:val="000000"/>
                <w:sz w:val="20"/>
                <w:szCs w:val="20"/>
              </w:rPr>
              <w:t>Value</w:t>
            </w:r>
          </w:p>
        </w:tc>
        <w:tc>
          <w:tcPr>
            <w:tcW w:w="5238" w:type="dxa"/>
            <w:shd w:val="clear" w:color="auto" w:fill="auto"/>
            <w:noWrap/>
            <w:hideMark/>
          </w:tcPr>
          <w:p w:rsidR="00A31B50" w:rsidRPr="008A71E1" w:rsidRDefault="00A31B50" w:rsidP="00EE18E0">
            <w:pPr>
              <w:spacing w:after="0" w:line="240" w:lineRule="auto"/>
              <w:rPr>
                <w:rFonts w:ascii="Calibri" w:eastAsia="Times New Roman" w:hAnsi="Calibri" w:cs="Times New Roman"/>
                <w:color w:val="000000"/>
                <w:sz w:val="20"/>
                <w:szCs w:val="20"/>
              </w:rPr>
            </w:pPr>
            <w:r w:rsidRPr="008A71E1">
              <w:rPr>
                <w:rFonts w:ascii="Calibri" w:eastAsia="Times New Roman" w:hAnsi="Calibri" w:cs="Times New Roman"/>
                <w:color w:val="000000"/>
                <w:sz w:val="20"/>
                <w:szCs w:val="20"/>
              </w:rPr>
              <w:t>Definition</w:t>
            </w:r>
          </w:p>
        </w:tc>
      </w:tr>
      <w:tr w:rsidR="00642887" w:rsidRPr="00F817A4" w:rsidTr="003D6BCC">
        <w:trPr>
          <w:trHeight w:hRule="exact" w:val="507"/>
          <w:tblHeader/>
        </w:trPr>
        <w:tc>
          <w:tcPr>
            <w:tcW w:w="1890" w:type="dxa"/>
            <w:shd w:val="clear" w:color="auto" w:fill="auto"/>
            <w:noWrap/>
          </w:tcPr>
          <w:p w:rsidR="00642887" w:rsidRDefault="00642887">
            <w:pPr>
              <w:rPr>
                <w:rFonts w:ascii="Calibri" w:hAnsi="Calibri"/>
                <w:sz w:val="20"/>
                <w:szCs w:val="20"/>
              </w:rPr>
            </w:pPr>
            <w:r>
              <w:rPr>
                <w:rFonts w:ascii="Calibri" w:hAnsi="Calibri"/>
                <w:sz w:val="20"/>
                <w:szCs w:val="20"/>
              </w:rPr>
              <w:t>Relationship</w:t>
            </w:r>
          </w:p>
        </w:tc>
        <w:tc>
          <w:tcPr>
            <w:tcW w:w="3060" w:type="dxa"/>
            <w:shd w:val="clear" w:color="auto" w:fill="auto"/>
            <w:noWrap/>
          </w:tcPr>
          <w:p w:rsidR="00642887" w:rsidRPr="00F817A4" w:rsidRDefault="00642887" w:rsidP="007E799D">
            <w:pPr>
              <w:spacing w:after="0" w:line="240" w:lineRule="auto"/>
              <w:rPr>
                <w:rFonts w:ascii="Calibri" w:eastAsia="Times New Roman" w:hAnsi="Calibri" w:cs="Times New Roman"/>
                <w:color w:val="000000"/>
                <w:sz w:val="20"/>
                <w:szCs w:val="20"/>
              </w:rPr>
            </w:pPr>
          </w:p>
        </w:tc>
        <w:tc>
          <w:tcPr>
            <w:tcW w:w="5238" w:type="dxa"/>
            <w:shd w:val="clear" w:color="auto" w:fill="auto"/>
            <w:noWrap/>
          </w:tcPr>
          <w:p w:rsidR="00642887" w:rsidRPr="00F817A4" w:rsidRDefault="00642887" w:rsidP="007E799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The familial relationship of the caregiver to the care recipient. (Source: NAMRS)</w:t>
            </w:r>
          </w:p>
        </w:tc>
      </w:tr>
      <w:tr w:rsidR="00642887" w:rsidRPr="00F817A4" w:rsidTr="003D6BCC">
        <w:trPr>
          <w:trHeight w:hRule="exact" w:val="288"/>
          <w:tblHeader/>
        </w:trPr>
        <w:tc>
          <w:tcPr>
            <w:tcW w:w="1890" w:type="dxa"/>
            <w:shd w:val="clear" w:color="auto" w:fill="auto"/>
            <w:noWrap/>
            <w:vAlign w:val="center"/>
          </w:tcPr>
          <w:p w:rsidR="00642887" w:rsidRDefault="00642887">
            <w:pPr>
              <w:rPr>
                <w:rFonts w:ascii="Calibri" w:hAnsi="Calibri"/>
                <w:color w:val="000000"/>
                <w:sz w:val="20"/>
                <w:szCs w:val="20"/>
              </w:rPr>
            </w:pPr>
          </w:p>
        </w:tc>
        <w:tc>
          <w:tcPr>
            <w:tcW w:w="3060" w:type="dxa"/>
            <w:shd w:val="clear" w:color="auto" w:fill="auto"/>
            <w:noWrap/>
            <w:vAlign w:val="center"/>
          </w:tcPr>
          <w:p w:rsidR="00642887" w:rsidRDefault="00642887" w:rsidP="008162E4">
            <w:pPr>
              <w:rPr>
                <w:rFonts w:ascii="Calibri" w:hAnsi="Calibri"/>
                <w:color w:val="000000"/>
                <w:sz w:val="20"/>
                <w:szCs w:val="20"/>
              </w:rPr>
            </w:pPr>
            <w:r>
              <w:rPr>
                <w:rFonts w:ascii="Calibri" w:hAnsi="Calibri"/>
                <w:color w:val="000000"/>
                <w:sz w:val="20"/>
                <w:szCs w:val="20"/>
              </w:rPr>
              <w:t>Husband</w:t>
            </w:r>
          </w:p>
        </w:tc>
        <w:tc>
          <w:tcPr>
            <w:tcW w:w="5238" w:type="dxa"/>
            <w:shd w:val="clear" w:color="auto" w:fill="auto"/>
            <w:noWrap/>
          </w:tcPr>
          <w:p w:rsidR="00642887" w:rsidRPr="00F817A4" w:rsidRDefault="00642887" w:rsidP="007E799D">
            <w:pPr>
              <w:spacing w:after="0" w:line="240" w:lineRule="auto"/>
              <w:rPr>
                <w:rFonts w:ascii="Calibri" w:eastAsia="Times New Roman" w:hAnsi="Calibri" w:cs="Times New Roman"/>
                <w:color w:val="000000"/>
                <w:sz w:val="20"/>
                <w:szCs w:val="20"/>
              </w:rPr>
            </w:pPr>
            <w:r w:rsidRPr="00557F5E">
              <w:rPr>
                <w:rFonts w:ascii="Calibri" w:eastAsia="Times New Roman" w:hAnsi="Calibri" w:cs="Times New Roman"/>
                <w:color w:val="000000"/>
                <w:sz w:val="20"/>
                <w:szCs w:val="20"/>
              </w:rPr>
              <w:t>Partner in a marriage</w:t>
            </w:r>
            <w:r>
              <w:rPr>
                <w:rFonts w:ascii="Calibri" w:eastAsia="Times New Roman" w:hAnsi="Calibri" w:cs="Times New Roman"/>
                <w:color w:val="000000"/>
                <w:sz w:val="20"/>
                <w:szCs w:val="20"/>
              </w:rPr>
              <w:t xml:space="preserve"> (male)</w:t>
            </w:r>
          </w:p>
        </w:tc>
      </w:tr>
      <w:tr w:rsidR="00642887" w:rsidRPr="00F817A4" w:rsidTr="003D6BCC">
        <w:trPr>
          <w:trHeight w:hRule="exact" w:val="288"/>
          <w:tblHeader/>
        </w:trPr>
        <w:tc>
          <w:tcPr>
            <w:tcW w:w="1890" w:type="dxa"/>
            <w:shd w:val="clear" w:color="auto" w:fill="auto"/>
            <w:noWrap/>
            <w:vAlign w:val="center"/>
          </w:tcPr>
          <w:p w:rsidR="00642887" w:rsidRDefault="00642887">
            <w:pPr>
              <w:rPr>
                <w:rFonts w:ascii="Calibri" w:hAnsi="Calibri"/>
                <w:color w:val="000000"/>
                <w:sz w:val="20"/>
                <w:szCs w:val="20"/>
              </w:rPr>
            </w:pPr>
          </w:p>
        </w:tc>
        <w:tc>
          <w:tcPr>
            <w:tcW w:w="3060" w:type="dxa"/>
            <w:shd w:val="clear" w:color="auto" w:fill="auto"/>
            <w:noWrap/>
            <w:vAlign w:val="center"/>
          </w:tcPr>
          <w:p w:rsidR="00642887" w:rsidRDefault="00642887" w:rsidP="008162E4">
            <w:pPr>
              <w:rPr>
                <w:rFonts w:ascii="Calibri" w:hAnsi="Calibri"/>
                <w:color w:val="000000"/>
                <w:sz w:val="20"/>
                <w:szCs w:val="20"/>
              </w:rPr>
            </w:pPr>
            <w:r>
              <w:rPr>
                <w:rFonts w:ascii="Calibri" w:hAnsi="Calibri"/>
                <w:color w:val="000000"/>
                <w:sz w:val="20"/>
                <w:szCs w:val="20"/>
              </w:rPr>
              <w:t>Wife</w:t>
            </w:r>
          </w:p>
        </w:tc>
        <w:tc>
          <w:tcPr>
            <w:tcW w:w="5238" w:type="dxa"/>
            <w:shd w:val="clear" w:color="auto" w:fill="auto"/>
            <w:noWrap/>
          </w:tcPr>
          <w:p w:rsidR="00642887" w:rsidRPr="00F817A4" w:rsidRDefault="00642887" w:rsidP="007E799D">
            <w:pPr>
              <w:spacing w:after="0" w:line="240" w:lineRule="auto"/>
              <w:rPr>
                <w:rFonts w:ascii="Calibri" w:eastAsia="Times New Roman" w:hAnsi="Calibri" w:cs="Times New Roman"/>
                <w:color w:val="000000"/>
                <w:sz w:val="20"/>
                <w:szCs w:val="20"/>
              </w:rPr>
            </w:pPr>
            <w:r w:rsidRPr="00557F5E">
              <w:rPr>
                <w:rFonts w:ascii="Calibri" w:eastAsia="Times New Roman" w:hAnsi="Calibri" w:cs="Times New Roman"/>
                <w:color w:val="000000"/>
                <w:sz w:val="20"/>
                <w:szCs w:val="20"/>
              </w:rPr>
              <w:t>Partner in a marriage</w:t>
            </w:r>
            <w:r>
              <w:rPr>
                <w:rFonts w:ascii="Calibri" w:eastAsia="Times New Roman" w:hAnsi="Calibri" w:cs="Times New Roman"/>
                <w:color w:val="000000"/>
                <w:sz w:val="20"/>
                <w:szCs w:val="20"/>
              </w:rPr>
              <w:t xml:space="preserve"> (female)</w:t>
            </w:r>
          </w:p>
        </w:tc>
      </w:tr>
      <w:tr w:rsidR="00642887" w:rsidRPr="00F817A4" w:rsidTr="003D6BCC">
        <w:trPr>
          <w:trHeight w:hRule="exact" w:val="588"/>
          <w:tblHeader/>
        </w:trPr>
        <w:tc>
          <w:tcPr>
            <w:tcW w:w="1890" w:type="dxa"/>
            <w:shd w:val="clear" w:color="auto" w:fill="auto"/>
            <w:noWrap/>
            <w:vAlign w:val="center"/>
          </w:tcPr>
          <w:p w:rsidR="00642887" w:rsidRDefault="00642887">
            <w:pPr>
              <w:rPr>
                <w:rFonts w:ascii="Calibri" w:hAnsi="Calibri"/>
                <w:color w:val="000000"/>
                <w:sz w:val="20"/>
                <w:szCs w:val="20"/>
              </w:rPr>
            </w:pPr>
          </w:p>
        </w:tc>
        <w:tc>
          <w:tcPr>
            <w:tcW w:w="3060" w:type="dxa"/>
            <w:shd w:val="clear" w:color="auto" w:fill="auto"/>
            <w:noWrap/>
            <w:vAlign w:val="center"/>
          </w:tcPr>
          <w:p w:rsidR="00642887" w:rsidRDefault="00642887" w:rsidP="008162E4">
            <w:pPr>
              <w:rPr>
                <w:rFonts w:ascii="Calibri" w:hAnsi="Calibri"/>
                <w:color w:val="000000"/>
                <w:sz w:val="20"/>
                <w:szCs w:val="20"/>
              </w:rPr>
            </w:pPr>
            <w:r>
              <w:rPr>
                <w:rFonts w:ascii="Calibri" w:hAnsi="Calibri"/>
                <w:color w:val="000000"/>
                <w:sz w:val="20"/>
                <w:szCs w:val="20"/>
              </w:rPr>
              <w:t>Domestic Partner, including civil union</w:t>
            </w:r>
          </w:p>
        </w:tc>
        <w:tc>
          <w:tcPr>
            <w:tcW w:w="5238" w:type="dxa"/>
            <w:shd w:val="clear" w:color="auto" w:fill="auto"/>
            <w:noWrap/>
          </w:tcPr>
          <w:p w:rsidR="00642887" w:rsidRPr="00F817A4" w:rsidRDefault="00642887" w:rsidP="00557F5E">
            <w:pPr>
              <w:spacing w:after="0" w:line="240" w:lineRule="auto"/>
              <w:rPr>
                <w:rFonts w:ascii="Calibri" w:eastAsia="Times New Roman" w:hAnsi="Calibri" w:cs="Times New Roman"/>
                <w:color w:val="000000"/>
                <w:sz w:val="20"/>
                <w:szCs w:val="20"/>
              </w:rPr>
            </w:pPr>
            <w:r w:rsidRPr="00557F5E">
              <w:rPr>
                <w:rFonts w:ascii="Calibri" w:eastAsia="Times New Roman" w:hAnsi="Calibri" w:cs="Times New Roman"/>
                <w:color w:val="000000"/>
                <w:sz w:val="20"/>
                <w:szCs w:val="20"/>
              </w:rPr>
              <w:t>Adults in a committed relationship with ano</w:t>
            </w:r>
            <w:r w:rsidR="008C169F">
              <w:rPr>
                <w:rFonts w:ascii="Calibri" w:eastAsia="Times New Roman" w:hAnsi="Calibri" w:cs="Times New Roman"/>
                <w:color w:val="000000"/>
                <w:sz w:val="20"/>
                <w:szCs w:val="20"/>
              </w:rPr>
              <w:t xml:space="preserve">ther adult, including both same </w:t>
            </w:r>
            <w:r w:rsidRPr="00557F5E">
              <w:rPr>
                <w:rFonts w:ascii="Calibri" w:eastAsia="Times New Roman" w:hAnsi="Calibri" w:cs="Times New Roman"/>
                <w:color w:val="000000"/>
                <w:sz w:val="20"/>
                <w:szCs w:val="20"/>
              </w:rPr>
              <w:t>sex and opposite-sex relationships</w:t>
            </w:r>
          </w:p>
        </w:tc>
      </w:tr>
      <w:tr w:rsidR="00642887" w:rsidRPr="00F817A4" w:rsidTr="003D6BCC">
        <w:trPr>
          <w:trHeight w:hRule="exact" w:val="518"/>
          <w:tblHeader/>
        </w:trPr>
        <w:tc>
          <w:tcPr>
            <w:tcW w:w="1890" w:type="dxa"/>
            <w:shd w:val="clear" w:color="auto" w:fill="auto"/>
            <w:noWrap/>
            <w:vAlign w:val="center"/>
          </w:tcPr>
          <w:p w:rsidR="00642887" w:rsidRDefault="00642887">
            <w:pPr>
              <w:rPr>
                <w:rFonts w:ascii="Calibri" w:hAnsi="Calibri"/>
                <w:color w:val="000000"/>
                <w:sz w:val="20"/>
                <w:szCs w:val="20"/>
              </w:rPr>
            </w:pPr>
          </w:p>
        </w:tc>
        <w:tc>
          <w:tcPr>
            <w:tcW w:w="3060" w:type="dxa"/>
            <w:shd w:val="clear" w:color="auto" w:fill="auto"/>
            <w:noWrap/>
            <w:vAlign w:val="center"/>
          </w:tcPr>
          <w:p w:rsidR="00642887" w:rsidRDefault="00642887" w:rsidP="008162E4">
            <w:pPr>
              <w:rPr>
                <w:rFonts w:ascii="Calibri" w:hAnsi="Calibri"/>
                <w:color w:val="000000"/>
                <w:sz w:val="20"/>
                <w:szCs w:val="20"/>
              </w:rPr>
            </w:pPr>
            <w:r>
              <w:rPr>
                <w:rFonts w:ascii="Calibri" w:hAnsi="Calibri"/>
                <w:color w:val="000000"/>
                <w:sz w:val="20"/>
                <w:szCs w:val="20"/>
              </w:rPr>
              <w:t>Son/Son-in-Law</w:t>
            </w:r>
          </w:p>
        </w:tc>
        <w:tc>
          <w:tcPr>
            <w:tcW w:w="5238" w:type="dxa"/>
            <w:shd w:val="clear" w:color="auto" w:fill="auto"/>
            <w:noWrap/>
          </w:tcPr>
          <w:p w:rsidR="00642887" w:rsidRPr="00F817A4" w:rsidRDefault="00642887" w:rsidP="00442A3C">
            <w:pPr>
              <w:spacing w:after="0" w:line="240" w:lineRule="auto"/>
              <w:rPr>
                <w:rFonts w:ascii="Calibri" w:eastAsia="Times New Roman" w:hAnsi="Calibri" w:cs="Times New Roman"/>
                <w:color w:val="000000"/>
                <w:sz w:val="20"/>
                <w:szCs w:val="20"/>
              </w:rPr>
            </w:pPr>
            <w:r w:rsidRPr="00442A3C">
              <w:rPr>
                <w:rFonts w:ascii="Calibri" w:eastAsia="Times New Roman" w:hAnsi="Calibri" w:cs="Times New Roman"/>
                <w:color w:val="000000"/>
                <w:sz w:val="20"/>
                <w:szCs w:val="20"/>
              </w:rPr>
              <w:t xml:space="preserve">Biological </w:t>
            </w:r>
            <w:r>
              <w:rPr>
                <w:rFonts w:ascii="Calibri" w:eastAsia="Times New Roman" w:hAnsi="Calibri" w:cs="Times New Roman"/>
                <w:color w:val="000000"/>
                <w:sz w:val="20"/>
                <w:szCs w:val="20"/>
              </w:rPr>
              <w:t>child (male)</w:t>
            </w:r>
            <w:r w:rsidRPr="00442A3C">
              <w:rPr>
                <w:rFonts w:ascii="Calibri" w:eastAsia="Times New Roman" w:hAnsi="Calibri" w:cs="Times New Roman"/>
                <w:color w:val="000000"/>
                <w:sz w:val="20"/>
                <w:szCs w:val="20"/>
              </w:rPr>
              <w:t xml:space="preserve">, adoptive </w:t>
            </w:r>
            <w:r>
              <w:rPr>
                <w:rFonts w:ascii="Calibri" w:eastAsia="Times New Roman" w:hAnsi="Calibri" w:cs="Times New Roman"/>
                <w:color w:val="000000"/>
                <w:sz w:val="20"/>
                <w:szCs w:val="20"/>
              </w:rPr>
              <w:t>child</w:t>
            </w:r>
            <w:r w:rsidRPr="00442A3C">
              <w:rPr>
                <w:rFonts w:ascii="Calibri" w:eastAsia="Times New Roman" w:hAnsi="Calibri" w:cs="Times New Roman"/>
                <w:color w:val="000000"/>
                <w:sz w:val="20"/>
                <w:szCs w:val="20"/>
              </w:rPr>
              <w:t>, or step-</w:t>
            </w:r>
            <w:r>
              <w:rPr>
                <w:rFonts w:ascii="Calibri" w:eastAsia="Times New Roman" w:hAnsi="Calibri" w:cs="Times New Roman"/>
                <w:color w:val="000000"/>
                <w:sz w:val="20"/>
                <w:szCs w:val="20"/>
              </w:rPr>
              <w:t>child and spouse of biological, adoptive or step-daughter.</w:t>
            </w:r>
          </w:p>
        </w:tc>
      </w:tr>
      <w:tr w:rsidR="00642887" w:rsidRPr="00F817A4" w:rsidTr="003D6BCC">
        <w:trPr>
          <w:trHeight w:hRule="exact" w:val="518"/>
          <w:tblHeader/>
        </w:trPr>
        <w:tc>
          <w:tcPr>
            <w:tcW w:w="1890" w:type="dxa"/>
            <w:shd w:val="clear" w:color="auto" w:fill="auto"/>
            <w:noWrap/>
            <w:vAlign w:val="center"/>
          </w:tcPr>
          <w:p w:rsidR="00642887" w:rsidRDefault="00642887">
            <w:pPr>
              <w:rPr>
                <w:rFonts w:ascii="Calibri" w:hAnsi="Calibri"/>
                <w:color w:val="000000"/>
                <w:sz w:val="20"/>
                <w:szCs w:val="20"/>
              </w:rPr>
            </w:pPr>
          </w:p>
        </w:tc>
        <w:tc>
          <w:tcPr>
            <w:tcW w:w="3060" w:type="dxa"/>
            <w:shd w:val="clear" w:color="auto" w:fill="auto"/>
            <w:noWrap/>
            <w:vAlign w:val="center"/>
          </w:tcPr>
          <w:p w:rsidR="00642887" w:rsidRDefault="00642887" w:rsidP="008162E4">
            <w:pPr>
              <w:rPr>
                <w:rFonts w:ascii="Calibri" w:hAnsi="Calibri"/>
                <w:color w:val="000000"/>
                <w:sz w:val="20"/>
                <w:szCs w:val="20"/>
              </w:rPr>
            </w:pPr>
            <w:r>
              <w:rPr>
                <w:rFonts w:ascii="Calibri" w:hAnsi="Calibri"/>
                <w:color w:val="000000"/>
                <w:sz w:val="20"/>
                <w:szCs w:val="20"/>
              </w:rPr>
              <w:t>Daughter/Daughter-in-law</w:t>
            </w:r>
          </w:p>
        </w:tc>
        <w:tc>
          <w:tcPr>
            <w:tcW w:w="5238" w:type="dxa"/>
            <w:shd w:val="clear" w:color="auto" w:fill="auto"/>
            <w:noWrap/>
          </w:tcPr>
          <w:p w:rsidR="00642887" w:rsidRPr="00F817A4" w:rsidRDefault="00642887" w:rsidP="00442A3C">
            <w:pPr>
              <w:spacing w:after="0" w:line="240" w:lineRule="auto"/>
              <w:rPr>
                <w:rFonts w:ascii="Calibri" w:eastAsia="Times New Roman" w:hAnsi="Calibri" w:cs="Times New Roman"/>
                <w:color w:val="000000"/>
                <w:sz w:val="20"/>
                <w:szCs w:val="20"/>
              </w:rPr>
            </w:pPr>
            <w:r w:rsidRPr="00442A3C">
              <w:rPr>
                <w:rFonts w:ascii="Calibri" w:eastAsia="Times New Roman" w:hAnsi="Calibri" w:cs="Times New Roman"/>
                <w:color w:val="000000"/>
                <w:sz w:val="20"/>
                <w:szCs w:val="20"/>
              </w:rPr>
              <w:t xml:space="preserve">Biological </w:t>
            </w:r>
            <w:r>
              <w:rPr>
                <w:rFonts w:ascii="Calibri" w:eastAsia="Times New Roman" w:hAnsi="Calibri" w:cs="Times New Roman"/>
                <w:color w:val="000000"/>
                <w:sz w:val="20"/>
                <w:szCs w:val="20"/>
              </w:rPr>
              <w:t>child (female)</w:t>
            </w:r>
            <w:r w:rsidRPr="00442A3C">
              <w:rPr>
                <w:rFonts w:ascii="Calibri" w:eastAsia="Times New Roman" w:hAnsi="Calibri" w:cs="Times New Roman"/>
                <w:color w:val="000000"/>
                <w:sz w:val="20"/>
                <w:szCs w:val="20"/>
              </w:rPr>
              <w:t xml:space="preserve">, adoptive </w:t>
            </w:r>
            <w:r>
              <w:rPr>
                <w:rFonts w:ascii="Calibri" w:eastAsia="Times New Roman" w:hAnsi="Calibri" w:cs="Times New Roman"/>
                <w:color w:val="000000"/>
                <w:sz w:val="20"/>
                <w:szCs w:val="20"/>
              </w:rPr>
              <w:t>child</w:t>
            </w:r>
            <w:r w:rsidRPr="00442A3C">
              <w:rPr>
                <w:rFonts w:ascii="Calibri" w:eastAsia="Times New Roman" w:hAnsi="Calibri" w:cs="Times New Roman"/>
                <w:color w:val="000000"/>
                <w:sz w:val="20"/>
                <w:szCs w:val="20"/>
              </w:rPr>
              <w:t>, or step-</w:t>
            </w:r>
            <w:r>
              <w:rPr>
                <w:rFonts w:ascii="Calibri" w:eastAsia="Times New Roman" w:hAnsi="Calibri" w:cs="Times New Roman"/>
                <w:color w:val="000000"/>
                <w:sz w:val="20"/>
                <w:szCs w:val="20"/>
              </w:rPr>
              <w:t>child and spouse of biological, adoptive or step-son.</w:t>
            </w:r>
          </w:p>
        </w:tc>
      </w:tr>
      <w:tr w:rsidR="00642887" w:rsidRPr="00F817A4" w:rsidTr="003D6BCC">
        <w:trPr>
          <w:trHeight w:hRule="exact" w:val="518"/>
          <w:tblHeader/>
        </w:trPr>
        <w:tc>
          <w:tcPr>
            <w:tcW w:w="1890" w:type="dxa"/>
            <w:shd w:val="clear" w:color="auto" w:fill="auto"/>
            <w:noWrap/>
            <w:vAlign w:val="center"/>
          </w:tcPr>
          <w:p w:rsidR="00642887" w:rsidRDefault="00642887">
            <w:pPr>
              <w:rPr>
                <w:rFonts w:ascii="Calibri" w:hAnsi="Calibri"/>
                <w:color w:val="000000"/>
                <w:sz w:val="20"/>
                <w:szCs w:val="20"/>
              </w:rPr>
            </w:pPr>
          </w:p>
        </w:tc>
        <w:tc>
          <w:tcPr>
            <w:tcW w:w="3060" w:type="dxa"/>
            <w:shd w:val="clear" w:color="auto" w:fill="auto"/>
            <w:noWrap/>
            <w:vAlign w:val="center"/>
          </w:tcPr>
          <w:p w:rsidR="00642887" w:rsidRDefault="00642887" w:rsidP="008162E4">
            <w:pPr>
              <w:rPr>
                <w:rFonts w:ascii="Calibri" w:hAnsi="Calibri"/>
                <w:color w:val="000000"/>
                <w:sz w:val="20"/>
                <w:szCs w:val="20"/>
              </w:rPr>
            </w:pPr>
            <w:r>
              <w:rPr>
                <w:rFonts w:ascii="Calibri" w:hAnsi="Calibri"/>
                <w:color w:val="000000"/>
                <w:sz w:val="20"/>
                <w:szCs w:val="20"/>
              </w:rPr>
              <w:t>Sister</w:t>
            </w:r>
          </w:p>
        </w:tc>
        <w:tc>
          <w:tcPr>
            <w:tcW w:w="5238" w:type="dxa"/>
            <w:shd w:val="clear" w:color="auto" w:fill="auto"/>
            <w:noWrap/>
          </w:tcPr>
          <w:p w:rsidR="00642887" w:rsidRPr="00F817A4" w:rsidRDefault="00642887" w:rsidP="00557F5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Female child</w:t>
            </w:r>
            <w:r w:rsidRPr="00557F5E">
              <w:rPr>
                <w:rFonts w:ascii="Calibri" w:eastAsia="Times New Roman" w:hAnsi="Calibri" w:cs="Times New Roman"/>
                <w:color w:val="000000"/>
                <w:sz w:val="20"/>
                <w:szCs w:val="20"/>
              </w:rPr>
              <w:t xml:space="preserve"> or offspring have one or both parents in common; a </w:t>
            </w:r>
            <w:r>
              <w:rPr>
                <w:rFonts w:ascii="Calibri" w:eastAsia="Times New Roman" w:hAnsi="Calibri" w:cs="Times New Roman"/>
                <w:color w:val="000000"/>
                <w:sz w:val="20"/>
                <w:szCs w:val="20"/>
              </w:rPr>
              <w:t>female sibling</w:t>
            </w:r>
            <w:r w:rsidRPr="00557F5E">
              <w:rPr>
                <w:rFonts w:ascii="Calibri" w:eastAsia="Times New Roman" w:hAnsi="Calibri" w:cs="Times New Roman"/>
                <w:color w:val="000000"/>
                <w:sz w:val="20"/>
                <w:szCs w:val="20"/>
              </w:rPr>
              <w:t xml:space="preserve"> (by blood, adoption, marriage)</w:t>
            </w:r>
          </w:p>
        </w:tc>
      </w:tr>
      <w:tr w:rsidR="00642887" w:rsidRPr="00F817A4" w:rsidTr="003D6BCC">
        <w:trPr>
          <w:trHeight w:hRule="exact" w:val="518"/>
          <w:tblHeader/>
        </w:trPr>
        <w:tc>
          <w:tcPr>
            <w:tcW w:w="1890" w:type="dxa"/>
            <w:shd w:val="clear" w:color="auto" w:fill="auto"/>
            <w:noWrap/>
            <w:vAlign w:val="center"/>
          </w:tcPr>
          <w:p w:rsidR="00642887" w:rsidRDefault="00642887">
            <w:pPr>
              <w:rPr>
                <w:rFonts w:ascii="Calibri" w:hAnsi="Calibri"/>
                <w:color w:val="000000"/>
                <w:sz w:val="20"/>
                <w:szCs w:val="20"/>
              </w:rPr>
            </w:pPr>
          </w:p>
        </w:tc>
        <w:tc>
          <w:tcPr>
            <w:tcW w:w="3060" w:type="dxa"/>
            <w:shd w:val="clear" w:color="auto" w:fill="auto"/>
            <w:noWrap/>
            <w:vAlign w:val="center"/>
          </w:tcPr>
          <w:p w:rsidR="00642887" w:rsidRDefault="00642887" w:rsidP="008162E4">
            <w:pPr>
              <w:rPr>
                <w:rFonts w:ascii="Calibri" w:hAnsi="Calibri"/>
                <w:color w:val="000000"/>
                <w:sz w:val="20"/>
                <w:szCs w:val="20"/>
              </w:rPr>
            </w:pPr>
            <w:r>
              <w:rPr>
                <w:rFonts w:ascii="Calibri" w:hAnsi="Calibri"/>
                <w:color w:val="000000"/>
                <w:sz w:val="20"/>
                <w:szCs w:val="20"/>
              </w:rPr>
              <w:t>Brother</w:t>
            </w:r>
          </w:p>
        </w:tc>
        <w:tc>
          <w:tcPr>
            <w:tcW w:w="5238" w:type="dxa"/>
            <w:shd w:val="clear" w:color="auto" w:fill="auto"/>
            <w:noWrap/>
          </w:tcPr>
          <w:p w:rsidR="00642887" w:rsidRPr="00F817A4" w:rsidRDefault="00642887" w:rsidP="007E799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Male child</w:t>
            </w:r>
            <w:r w:rsidRPr="00557F5E">
              <w:rPr>
                <w:rFonts w:ascii="Calibri" w:eastAsia="Times New Roman" w:hAnsi="Calibri" w:cs="Times New Roman"/>
                <w:color w:val="000000"/>
                <w:sz w:val="20"/>
                <w:szCs w:val="20"/>
              </w:rPr>
              <w:t xml:space="preserve"> or offspring have one or both parents in common; a </w:t>
            </w:r>
            <w:r>
              <w:rPr>
                <w:rFonts w:ascii="Calibri" w:eastAsia="Times New Roman" w:hAnsi="Calibri" w:cs="Times New Roman"/>
                <w:color w:val="000000"/>
                <w:sz w:val="20"/>
                <w:szCs w:val="20"/>
              </w:rPr>
              <w:t>male sibling</w:t>
            </w:r>
            <w:r w:rsidRPr="00557F5E">
              <w:rPr>
                <w:rFonts w:ascii="Calibri" w:eastAsia="Times New Roman" w:hAnsi="Calibri" w:cs="Times New Roman"/>
                <w:color w:val="000000"/>
                <w:sz w:val="20"/>
                <w:szCs w:val="20"/>
              </w:rPr>
              <w:t xml:space="preserve"> (by blood, adoption, marriage)</w:t>
            </w:r>
          </w:p>
        </w:tc>
      </w:tr>
      <w:tr w:rsidR="00642887" w:rsidRPr="00A57DE2" w:rsidTr="003D6BCC">
        <w:trPr>
          <w:trHeight w:hRule="exact" w:val="518"/>
          <w:tblHeader/>
        </w:trPr>
        <w:tc>
          <w:tcPr>
            <w:tcW w:w="1890" w:type="dxa"/>
            <w:shd w:val="clear" w:color="auto" w:fill="auto"/>
            <w:noWrap/>
            <w:vAlign w:val="center"/>
          </w:tcPr>
          <w:p w:rsidR="00642887" w:rsidRPr="00A57DE2" w:rsidRDefault="00642887">
            <w:pPr>
              <w:rPr>
                <w:rFonts w:ascii="Calibri" w:hAnsi="Calibri"/>
                <w:color w:val="000000"/>
                <w:sz w:val="20"/>
                <w:szCs w:val="20"/>
              </w:rPr>
            </w:pPr>
          </w:p>
        </w:tc>
        <w:tc>
          <w:tcPr>
            <w:tcW w:w="3060" w:type="dxa"/>
            <w:shd w:val="clear" w:color="auto" w:fill="auto"/>
            <w:noWrap/>
            <w:vAlign w:val="center"/>
          </w:tcPr>
          <w:p w:rsidR="00642887" w:rsidRPr="00A57DE2" w:rsidRDefault="00642887" w:rsidP="008162E4">
            <w:pPr>
              <w:rPr>
                <w:rFonts w:ascii="Calibri" w:hAnsi="Calibri"/>
                <w:color w:val="000000"/>
                <w:sz w:val="20"/>
                <w:szCs w:val="20"/>
              </w:rPr>
            </w:pPr>
            <w:r w:rsidRPr="00A57DE2">
              <w:rPr>
                <w:rFonts w:ascii="Calibri" w:hAnsi="Calibri"/>
                <w:color w:val="000000"/>
                <w:sz w:val="20"/>
                <w:szCs w:val="20"/>
              </w:rPr>
              <w:t>Grandmother</w:t>
            </w:r>
          </w:p>
        </w:tc>
        <w:tc>
          <w:tcPr>
            <w:tcW w:w="5238" w:type="dxa"/>
            <w:shd w:val="clear" w:color="auto" w:fill="auto"/>
            <w:noWrap/>
          </w:tcPr>
          <w:p w:rsidR="00642887" w:rsidRPr="00A57DE2" w:rsidRDefault="00642887" w:rsidP="00201F1A">
            <w:pPr>
              <w:spacing w:after="0" w:line="240" w:lineRule="auto"/>
              <w:rPr>
                <w:rFonts w:ascii="Calibri" w:eastAsia="Times New Roman" w:hAnsi="Calibri" w:cs="Times New Roman"/>
                <w:color w:val="000000"/>
                <w:sz w:val="20"/>
                <w:szCs w:val="20"/>
              </w:rPr>
            </w:pPr>
            <w:r w:rsidRPr="00A57DE2">
              <w:rPr>
                <w:rFonts w:ascii="Calibri" w:eastAsia="Times New Roman" w:hAnsi="Calibri" w:cs="Times New Roman"/>
                <w:color w:val="000000"/>
                <w:sz w:val="20"/>
                <w:szCs w:val="20"/>
              </w:rPr>
              <w:t>Parent of one's mother; a grandparent (by blood, adoption, marriage)</w:t>
            </w:r>
          </w:p>
        </w:tc>
      </w:tr>
      <w:tr w:rsidR="00642887" w:rsidRPr="00A57DE2" w:rsidTr="003D6BCC">
        <w:trPr>
          <w:trHeight w:hRule="exact" w:val="518"/>
          <w:tblHeader/>
        </w:trPr>
        <w:tc>
          <w:tcPr>
            <w:tcW w:w="1890" w:type="dxa"/>
            <w:shd w:val="clear" w:color="auto" w:fill="auto"/>
            <w:noWrap/>
            <w:vAlign w:val="center"/>
          </w:tcPr>
          <w:p w:rsidR="00642887" w:rsidRPr="00A57DE2" w:rsidRDefault="00642887">
            <w:pPr>
              <w:rPr>
                <w:rFonts w:ascii="Calibri" w:hAnsi="Calibri"/>
                <w:color w:val="000000"/>
                <w:sz w:val="20"/>
                <w:szCs w:val="20"/>
              </w:rPr>
            </w:pPr>
          </w:p>
        </w:tc>
        <w:tc>
          <w:tcPr>
            <w:tcW w:w="3060" w:type="dxa"/>
            <w:shd w:val="clear" w:color="auto" w:fill="auto"/>
            <w:noWrap/>
            <w:vAlign w:val="center"/>
          </w:tcPr>
          <w:p w:rsidR="00642887" w:rsidRPr="00A57DE2" w:rsidRDefault="00642887" w:rsidP="008162E4">
            <w:pPr>
              <w:rPr>
                <w:rFonts w:ascii="Calibri" w:hAnsi="Calibri"/>
                <w:color w:val="000000"/>
                <w:sz w:val="20"/>
                <w:szCs w:val="20"/>
              </w:rPr>
            </w:pPr>
            <w:r w:rsidRPr="00A57DE2">
              <w:rPr>
                <w:rFonts w:ascii="Calibri" w:hAnsi="Calibri"/>
                <w:color w:val="000000"/>
                <w:sz w:val="20"/>
                <w:szCs w:val="20"/>
              </w:rPr>
              <w:t>Grandfather</w:t>
            </w:r>
          </w:p>
        </w:tc>
        <w:tc>
          <w:tcPr>
            <w:tcW w:w="5238" w:type="dxa"/>
            <w:shd w:val="clear" w:color="auto" w:fill="auto"/>
            <w:noWrap/>
          </w:tcPr>
          <w:p w:rsidR="00642887" w:rsidRPr="00A57DE2" w:rsidRDefault="00642887" w:rsidP="00201F1A">
            <w:pPr>
              <w:spacing w:after="0" w:line="240" w:lineRule="auto"/>
              <w:rPr>
                <w:rFonts w:ascii="Calibri" w:eastAsia="Times New Roman" w:hAnsi="Calibri" w:cs="Times New Roman"/>
                <w:color w:val="000000"/>
                <w:sz w:val="20"/>
                <w:szCs w:val="20"/>
              </w:rPr>
            </w:pPr>
            <w:r w:rsidRPr="00A57DE2">
              <w:rPr>
                <w:rFonts w:ascii="Calibri" w:eastAsia="Times New Roman" w:hAnsi="Calibri" w:cs="Times New Roman"/>
                <w:color w:val="000000"/>
                <w:sz w:val="20"/>
                <w:szCs w:val="20"/>
              </w:rPr>
              <w:t>Parent of one's father; a grandparent (by blood, adoption, marriage)</w:t>
            </w:r>
          </w:p>
        </w:tc>
      </w:tr>
      <w:tr w:rsidR="00642887" w:rsidRPr="00A57DE2" w:rsidTr="003D6BCC">
        <w:trPr>
          <w:trHeight w:hRule="exact" w:val="518"/>
          <w:tblHeader/>
        </w:trPr>
        <w:tc>
          <w:tcPr>
            <w:tcW w:w="1890" w:type="dxa"/>
            <w:shd w:val="clear" w:color="auto" w:fill="auto"/>
            <w:noWrap/>
            <w:vAlign w:val="center"/>
          </w:tcPr>
          <w:p w:rsidR="00642887" w:rsidRPr="00A57DE2" w:rsidRDefault="00642887">
            <w:pPr>
              <w:rPr>
                <w:rFonts w:ascii="Calibri" w:hAnsi="Calibri"/>
                <w:color w:val="000000"/>
                <w:sz w:val="20"/>
                <w:szCs w:val="20"/>
              </w:rPr>
            </w:pPr>
          </w:p>
        </w:tc>
        <w:tc>
          <w:tcPr>
            <w:tcW w:w="3060" w:type="dxa"/>
            <w:shd w:val="clear" w:color="auto" w:fill="auto"/>
            <w:noWrap/>
            <w:vAlign w:val="center"/>
          </w:tcPr>
          <w:p w:rsidR="00642887" w:rsidRPr="00A57DE2" w:rsidRDefault="00642887" w:rsidP="008162E4">
            <w:pPr>
              <w:rPr>
                <w:rFonts w:ascii="Calibri" w:hAnsi="Calibri"/>
                <w:color w:val="000000"/>
                <w:sz w:val="20"/>
                <w:szCs w:val="20"/>
              </w:rPr>
            </w:pPr>
            <w:r w:rsidRPr="00A57DE2">
              <w:rPr>
                <w:rFonts w:ascii="Calibri" w:hAnsi="Calibri"/>
                <w:color w:val="000000"/>
                <w:sz w:val="20"/>
                <w:szCs w:val="20"/>
              </w:rPr>
              <w:t>Mother</w:t>
            </w:r>
          </w:p>
        </w:tc>
        <w:tc>
          <w:tcPr>
            <w:tcW w:w="5238" w:type="dxa"/>
            <w:shd w:val="clear" w:color="auto" w:fill="auto"/>
            <w:noWrap/>
          </w:tcPr>
          <w:p w:rsidR="00642887" w:rsidRPr="00A57DE2" w:rsidRDefault="00642887" w:rsidP="00442A3C">
            <w:pPr>
              <w:spacing w:after="0" w:line="240" w:lineRule="auto"/>
              <w:rPr>
                <w:rFonts w:ascii="Calibri" w:eastAsia="Times New Roman" w:hAnsi="Calibri" w:cs="Times New Roman"/>
                <w:color w:val="000000"/>
                <w:sz w:val="20"/>
                <w:szCs w:val="20"/>
              </w:rPr>
            </w:pPr>
            <w:r w:rsidRPr="00A57DE2">
              <w:rPr>
                <w:rFonts w:ascii="Calibri" w:eastAsia="Times New Roman" w:hAnsi="Calibri" w:cs="Times New Roman"/>
                <w:color w:val="000000"/>
                <w:sz w:val="20"/>
                <w:szCs w:val="20"/>
              </w:rPr>
              <w:t>The birth parent (female), adoptive parent, or step-parent of the care recipient</w:t>
            </w:r>
          </w:p>
        </w:tc>
      </w:tr>
      <w:tr w:rsidR="00642887" w:rsidRPr="00F817A4" w:rsidTr="003D6BCC">
        <w:trPr>
          <w:trHeight w:hRule="exact" w:val="518"/>
          <w:tblHeader/>
        </w:trPr>
        <w:tc>
          <w:tcPr>
            <w:tcW w:w="1890" w:type="dxa"/>
            <w:shd w:val="clear" w:color="auto" w:fill="auto"/>
            <w:noWrap/>
            <w:vAlign w:val="center"/>
          </w:tcPr>
          <w:p w:rsidR="00642887" w:rsidRPr="00A57DE2" w:rsidRDefault="00642887">
            <w:pPr>
              <w:rPr>
                <w:rFonts w:ascii="Calibri" w:hAnsi="Calibri"/>
                <w:color w:val="000000"/>
                <w:sz w:val="20"/>
                <w:szCs w:val="20"/>
              </w:rPr>
            </w:pPr>
          </w:p>
        </w:tc>
        <w:tc>
          <w:tcPr>
            <w:tcW w:w="3060" w:type="dxa"/>
            <w:shd w:val="clear" w:color="auto" w:fill="auto"/>
            <w:noWrap/>
            <w:vAlign w:val="center"/>
          </w:tcPr>
          <w:p w:rsidR="00642887" w:rsidRPr="00A57DE2" w:rsidRDefault="00642887" w:rsidP="008162E4">
            <w:pPr>
              <w:rPr>
                <w:rFonts w:ascii="Calibri" w:hAnsi="Calibri"/>
                <w:color w:val="000000"/>
                <w:sz w:val="20"/>
                <w:szCs w:val="20"/>
              </w:rPr>
            </w:pPr>
            <w:r w:rsidRPr="00A57DE2">
              <w:rPr>
                <w:rFonts w:ascii="Calibri" w:hAnsi="Calibri"/>
                <w:color w:val="000000"/>
                <w:sz w:val="20"/>
                <w:szCs w:val="20"/>
              </w:rPr>
              <w:t>Father</w:t>
            </w:r>
          </w:p>
        </w:tc>
        <w:tc>
          <w:tcPr>
            <w:tcW w:w="5238" w:type="dxa"/>
            <w:shd w:val="clear" w:color="auto" w:fill="auto"/>
            <w:noWrap/>
          </w:tcPr>
          <w:p w:rsidR="00642887" w:rsidRPr="00A57DE2" w:rsidRDefault="00642887" w:rsidP="00442A3C">
            <w:pPr>
              <w:spacing w:after="0" w:line="240" w:lineRule="auto"/>
              <w:rPr>
                <w:rFonts w:ascii="Calibri" w:eastAsia="Times New Roman" w:hAnsi="Calibri" w:cs="Times New Roman"/>
                <w:color w:val="000000"/>
                <w:sz w:val="20"/>
                <w:szCs w:val="20"/>
              </w:rPr>
            </w:pPr>
            <w:r w:rsidRPr="00A57DE2">
              <w:rPr>
                <w:rFonts w:ascii="Calibri" w:eastAsia="Times New Roman" w:hAnsi="Calibri" w:cs="Times New Roman"/>
                <w:color w:val="000000"/>
                <w:sz w:val="20"/>
                <w:szCs w:val="20"/>
              </w:rPr>
              <w:t>The birth parent (male), adoptive parent, or step-parent of the care recipient</w:t>
            </w:r>
          </w:p>
        </w:tc>
      </w:tr>
      <w:tr w:rsidR="00642887" w:rsidRPr="00F817A4" w:rsidTr="003D6BCC">
        <w:trPr>
          <w:trHeight w:hRule="exact" w:val="327"/>
          <w:tblHeader/>
        </w:trPr>
        <w:tc>
          <w:tcPr>
            <w:tcW w:w="1890" w:type="dxa"/>
            <w:shd w:val="clear" w:color="auto" w:fill="auto"/>
            <w:noWrap/>
            <w:vAlign w:val="center"/>
          </w:tcPr>
          <w:p w:rsidR="00642887" w:rsidRDefault="00642887">
            <w:pPr>
              <w:rPr>
                <w:rFonts w:ascii="Calibri" w:hAnsi="Calibri"/>
                <w:color w:val="000000"/>
                <w:sz w:val="20"/>
                <w:szCs w:val="20"/>
              </w:rPr>
            </w:pPr>
          </w:p>
        </w:tc>
        <w:tc>
          <w:tcPr>
            <w:tcW w:w="3060" w:type="dxa"/>
            <w:shd w:val="clear" w:color="auto" w:fill="auto"/>
            <w:noWrap/>
            <w:vAlign w:val="center"/>
          </w:tcPr>
          <w:p w:rsidR="00642887" w:rsidRDefault="00642887" w:rsidP="008162E4">
            <w:pPr>
              <w:rPr>
                <w:rFonts w:ascii="Calibri" w:hAnsi="Calibri"/>
                <w:color w:val="000000"/>
                <w:sz w:val="20"/>
                <w:szCs w:val="20"/>
              </w:rPr>
            </w:pPr>
            <w:r>
              <w:rPr>
                <w:rFonts w:ascii="Calibri" w:hAnsi="Calibri"/>
                <w:color w:val="000000"/>
                <w:sz w:val="20"/>
                <w:szCs w:val="20"/>
              </w:rPr>
              <w:t>Other Relative</w:t>
            </w:r>
          </w:p>
        </w:tc>
        <w:tc>
          <w:tcPr>
            <w:tcW w:w="5238" w:type="dxa"/>
            <w:shd w:val="clear" w:color="auto" w:fill="auto"/>
            <w:noWrap/>
          </w:tcPr>
          <w:p w:rsidR="00642887" w:rsidRPr="00F817A4" w:rsidRDefault="00642887" w:rsidP="008C79DA">
            <w:pPr>
              <w:spacing w:after="0" w:line="240" w:lineRule="auto"/>
              <w:rPr>
                <w:rFonts w:ascii="Calibri" w:eastAsia="Times New Roman" w:hAnsi="Calibri" w:cs="Times New Roman"/>
                <w:color w:val="000000"/>
                <w:sz w:val="20"/>
                <w:szCs w:val="20"/>
              </w:rPr>
            </w:pPr>
            <w:r w:rsidRPr="008C79DA">
              <w:rPr>
                <w:rFonts w:ascii="Calibri" w:eastAsia="Times New Roman" w:hAnsi="Calibri" w:cs="Times New Roman"/>
                <w:color w:val="000000"/>
                <w:sz w:val="20"/>
                <w:szCs w:val="20"/>
              </w:rPr>
              <w:t>Another family member, including in-laws</w:t>
            </w:r>
            <w:r>
              <w:rPr>
                <w:rFonts w:ascii="Calibri" w:eastAsia="Times New Roman" w:hAnsi="Calibri" w:cs="Times New Roman"/>
                <w:color w:val="000000"/>
                <w:sz w:val="20"/>
                <w:szCs w:val="20"/>
              </w:rPr>
              <w:t>.</w:t>
            </w:r>
          </w:p>
        </w:tc>
      </w:tr>
      <w:tr w:rsidR="00642887" w:rsidRPr="00F817A4" w:rsidTr="003D6BCC">
        <w:trPr>
          <w:trHeight w:hRule="exact" w:val="288"/>
          <w:tblHeader/>
        </w:trPr>
        <w:tc>
          <w:tcPr>
            <w:tcW w:w="1890" w:type="dxa"/>
            <w:shd w:val="clear" w:color="auto" w:fill="auto"/>
            <w:noWrap/>
            <w:vAlign w:val="center"/>
          </w:tcPr>
          <w:p w:rsidR="00642887" w:rsidRDefault="00642887">
            <w:pPr>
              <w:rPr>
                <w:rFonts w:ascii="Calibri" w:hAnsi="Calibri"/>
                <w:color w:val="000000"/>
                <w:sz w:val="20"/>
                <w:szCs w:val="20"/>
              </w:rPr>
            </w:pPr>
          </w:p>
        </w:tc>
        <w:tc>
          <w:tcPr>
            <w:tcW w:w="3060" w:type="dxa"/>
            <w:shd w:val="clear" w:color="auto" w:fill="auto"/>
            <w:noWrap/>
            <w:vAlign w:val="center"/>
          </w:tcPr>
          <w:p w:rsidR="00642887" w:rsidRDefault="00642887" w:rsidP="008162E4">
            <w:pPr>
              <w:rPr>
                <w:rFonts w:ascii="Calibri" w:hAnsi="Calibri"/>
                <w:color w:val="000000"/>
                <w:sz w:val="20"/>
                <w:szCs w:val="20"/>
              </w:rPr>
            </w:pPr>
            <w:r>
              <w:rPr>
                <w:rFonts w:ascii="Calibri" w:hAnsi="Calibri"/>
                <w:color w:val="000000"/>
                <w:sz w:val="20"/>
                <w:szCs w:val="20"/>
              </w:rPr>
              <w:t>Non-Relative</w:t>
            </w:r>
          </w:p>
        </w:tc>
        <w:tc>
          <w:tcPr>
            <w:tcW w:w="5238" w:type="dxa"/>
            <w:shd w:val="clear" w:color="auto" w:fill="auto"/>
            <w:noWrap/>
          </w:tcPr>
          <w:p w:rsidR="00642887" w:rsidRPr="00F817A4" w:rsidRDefault="00642887" w:rsidP="008C79D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No kinship relationship</w:t>
            </w:r>
          </w:p>
        </w:tc>
      </w:tr>
      <w:tr w:rsidR="00642887" w:rsidRPr="00F817A4" w:rsidTr="003D6BCC">
        <w:trPr>
          <w:trHeight w:hRule="exact" w:val="768"/>
          <w:tblHeader/>
        </w:trPr>
        <w:tc>
          <w:tcPr>
            <w:tcW w:w="1890" w:type="dxa"/>
            <w:shd w:val="clear" w:color="auto" w:fill="auto"/>
            <w:noWrap/>
          </w:tcPr>
          <w:p w:rsidR="00642887" w:rsidRDefault="00642887" w:rsidP="00A57DE2">
            <w:pPr>
              <w:rPr>
                <w:rFonts w:ascii="Calibri" w:hAnsi="Calibri"/>
                <w:color w:val="000000"/>
                <w:sz w:val="20"/>
                <w:szCs w:val="20"/>
              </w:rPr>
            </w:pPr>
            <w:r>
              <w:rPr>
                <w:rFonts w:ascii="Calibri" w:hAnsi="Calibri"/>
                <w:color w:val="000000"/>
                <w:sz w:val="20"/>
                <w:szCs w:val="20"/>
              </w:rPr>
              <w:t>Children receiving care</w:t>
            </w:r>
          </w:p>
        </w:tc>
        <w:tc>
          <w:tcPr>
            <w:tcW w:w="3060" w:type="dxa"/>
            <w:shd w:val="clear" w:color="auto" w:fill="auto"/>
            <w:noWrap/>
          </w:tcPr>
          <w:p w:rsidR="00642887" w:rsidRPr="00F817A4" w:rsidRDefault="00642887" w:rsidP="007E799D">
            <w:pPr>
              <w:spacing w:after="0" w:line="240" w:lineRule="auto"/>
              <w:rPr>
                <w:rFonts w:ascii="Calibri" w:eastAsia="Times New Roman" w:hAnsi="Calibri" w:cs="Times New Roman"/>
                <w:color w:val="000000"/>
                <w:sz w:val="20"/>
                <w:szCs w:val="20"/>
              </w:rPr>
            </w:pPr>
          </w:p>
        </w:tc>
        <w:tc>
          <w:tcPr>
            <w:tcW w:w="5238" w:type="dxa"/>
            <w:shd w:val="clear" w:color="auto" w:fill="auto"/>
            <w:noWrap/>
          </w:tcPr>
          <w:p w:rsidR="00642887" w:rsidRPr="00F817A4" w:rsidRDefault="00642887" w:rsidP="00AF623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An individual who is not more than 18 years of age who lives with and receives informal care from an eligible “older relative caregiver”.  (Source: OAA)</w:t>
            </w:r>
          </w:p>
        </w:tc>
      </w:tr>
      <w:tr w:rsidR="00642887" w:rsidRPr="00F817A4" w:rsidTr="003D6BCC">
        <w:trPr>
          <w:trHeight w:hRule="exact" w:val="1263"/>
          <w:tblHeader/>
        </w:trPr>
        <w:tc>
          <w:tcPr>
            <w:tcW w:w="1890" w:type="dxa"/>
            <w:shd w:val="clear" w:color="auto" w:fill="auto"/>
            <w:noWrap/>
          </w:tcPr>
          <w:p w:rsidR="00642887" w:rsidRDefault="00642887" w:rsidP="00A57DE2">
            <w:pPr>
              <w:rPr>
                <w:rFonts w:ascii="Calibri" w:hAnsi="Calibri"/>
                <w:color w:val="000000"/>
                <w:sz w:val="20"/>
                <w:szCs w:val="20"/>
              </w:rPr>
            </w:pPr>
            <w:r>
              <w:rPr>
                <w:rFonts w:ascii="Calibri" w:hAnsi="Calibri"/>
                <w:color w:val="000000"/>
                <w:sz w:val="20"/>
                <w:szCs w:val="20"/>
              </w:rPr>
              <w:t>Adults under age 60 receiving care</w:t>
            </w:r>
          </w:p>
        </w:tc>
        <w:tc>
          <w:tcPr>
            <w:tcW w:w="3060" w:type="dxa"/>
            <w:shd w:val="clear" w:color="auto" w:fill="auto"/>
            <w:noWrap/>
          </w:tcPr>
          <w:p w:rsidR="00642887" w:rsidRPr="00F817A4" w:rsidRDefault="00642887" w:rsidP="007E799D">
            <w:pPr>
              <w:spacing w:after="0" w:line="240" w:lineRule="auto"/>
              <w:rPr>
                <w:rFonts w:ascii="Calibri" w:eastAsia="Times New Roman" w:hAnsi="Calibri" w:cs="Times New Roman"/>
                <w:color w:val="000000"/>
                <w:sz w:val="20"/>
                <w:szCs w:val="20"/>
              </w:rPr>
            </w:pPr>
          </w:p>
        </w:tc>
        <w:tc>
          <w:tcPr>
            <w:tcW w:w="5238" w:type="dxa"/>
            <w:shd w:val="clear" w:color="auto" w:fill="auto"/>
            <w:noWrap/>
          </w:tcPr>
          <w:p w:rsidR="00642887" w:rsidRPr="00F817A4" w:rsidRDefault="00642887" w:rsidP="007E799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An individual with a disability, as defined in section 3 of the Americans with Disabilities Act of 1990 (42. U.S.C 12012), who is not less than age 18 and not more than age 59; and receives informal care from an eligible “older relative caregiver”. (Source: OAA)</w:t>
            </w:r>
          </w:p>
        </w:tc>
      </w:tr>
    </w:tbl>
    <w:p w:rsidR="008A71E1" w:rsidRDefault="008A71E1"/>
    <w:p w:rsidR="00BA59EA" w:rsidRPr="00B200D6" w:rsidRDefault="00B200D6">
      <w:pPr>
        <w:rPr>
          <w:b/>
        </w:rPr>
      </w:pPr>
      <w:r w:rsidRPr="00B200D6">
        <w:rPr>
          <w:b/>
        </w:rPr>
        <w:t>Table 2. Services and Service Units</w:t>
      </w:r>
      <w:r w:rsidR="008B133A" w:rsidRPr="00B200D6">
        <w:rPr>
          <w:b/>
        </w:rPr>
        <w:t>:</w:t>
      </w:r>
    </w:p>
    <w:tbl>
      <w:tblPr>
        <w:tblW w:w="102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718"/>
        <w:gridCol w:w="6120"/>
        <w:gridCol w:w="1458"/>
      </w:tblGrid>
      <w:tr w:rsidR="00642887" w:rsidRPr="00F817A4" w:rsidTr="00D12941">
        <w:trPr>
          <w:trHeight w:hRule="exact" w:val="288"/>
          <w:tblHeader/>
        </w:trPr>
        <w:tc>
          <w:tcPr>
            <w:tcW w:w="2718" w:type="dxa"/>
            <w:shd w:val="clear" w:color="auto" w:fill="auto"/>
            <w:noWrap/>
            <w:hideMark/>
          </w:tcPr>
          <w:p w:rsidR="00642887" w:rsidRPr="008A71E1" w:rsidRDefault="00642887" w:rsidP="001305B9">
            <w:pPr>
              <w:spacing w:after="0" w:line="240" w:lineRule="auto"/>
              <w:rPr>
                <w:rFonts w:ascii="Calibri" w:eastAsia="Times New Roman" w:hAnsi="Calibri" w:cs="Times New Roman"/>
                <w:color w:val="000000"/>
                <w:sz w:val="20"/>
                <w:szCs w:val="20"/>
              </w:rPr>
            </w:pPr>
            <w:r w:rsidRPr="00F817A4">
              <w:rPr>
                <w:rFonts w:ascii="Calibri" w:eastAsia="Times New Roman" w:hAnsi="Calibri" w:cs="Times New Roman"/>
                <w:color w:val="000000"/>
                <w:sz w:val="20"/>
                <w:szCs w:val="20"/>
              </w:rPr>
              <w:t xml:space="preserve">Data </w:t>
            </w:r>
            <w:r w:rsidRPr="008A71E1">
              <w:rPr>
                <w:rFonts w:ascii="Calibri" w:eastAsia="Times New Roman" w:hAnsi="Calibri" w:cs="Times New Roman"/>
                <w:color w:val="000000"/>
                <w:sz w:val="20"/>
                <w:szCs w:val="20"/>
              </w:rPr>
              <w:t>Element</w:t>
            </w:r>
          </w:p>
        </w:tc>
        <w:tc>
          <w:tcPr>
            <w:tcW w:w="6120" w:type="dxa"/>
            <w:shd w:val="clear" w:color="auto" w:fill="auto"/>
            <w:noWrap/>
            <w:hideMark/>
          </w:tcPr>
          <w:p w:rsidR="00642887" w:rsidRPr="008A71E1" w:rsidRDefault="00642887" w:rsidP="001305B9">
            <w:pPr>
              <w:spacing w:after="0" w:line="240" w:lineRule="auto"/>
              <w:rPr>
                <w:rFonts w:ascii="Calibri" w:eastAsia="Times New Roman" w:hAnsi="Calibri" w:cs="Times New Roman"/>
                <w:color w:val="000000"/>
                <w:sz w:val="20"/>
                <w:szCs w:val="20"/>
              </w:rPr>
            </w:pPr>
            <w:r w:rsidRPr="008A71E1">
              <w:rPr>
                <w:rFonts w:ascii="Calibri" w:eastAsia="Times New Roman" w:hAnsi="Calibri" w:cs="Times New Roman"/>
                <w:color w:val="000000"/>
                <w:sz w:val="20"/>
                <w:szCs w:val="20"/>
              </w:rPr>
              <w:t>Definition</w:t>
            </w:r>
          </w:p>
        </w:tc>
        <w:tc>
          <w:tcPr>
            <w:tcW w:w="1458" w:type="dxa"/>
          </w:tcPr>
          <w:p w:rsidR="00642887" w:rsidRPr="008A71E1" w:rsidRDefault="00642887" w:rsidP="00D1142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Service Unit</w:t>
            </w:r>
          </w:p>
        </w:tc>
      </w:tr>
      <w:tr w:rsidR="00642887" w:rsidRPr="00F817A4" w:rsidTr="00D12941">
        <w:trPr>
          <w:trHeight w:hRule="exact" w:val="1758"/>
        </w:trPr>
        <w:tc>
          <w:tcPr>
            <w:tcW w:w="2718" w:type="dxa"/>
            <w:shd w:val="clear" w:color="auto" w:fill="auto"/>
            <w:noWrap/>
            <w:hideMark/>
          </w:tcPr>
          <w:p w:rsidR="00642887" w:rsidRDefault="00642887" w:rsidP="001305B9">
            <w:pPr>
              <w:rPr>
                <w:rFonts w:ascii="Calibri" w:hAnsi="Calibri"/>
                <w:color w:val="000000"/>
              </w:rPr>
            </w:pPr>
            <w:r>
              <w:rPr>
                <w:rFonts w:ascii="Calibri" w:hAnsi="Calibri"/>
                <w:color w:val="000000"/>
              </w:rPr>
              <w:t>Personal Care</w:t>
            </w:r>
          </w:p>
        </w:tc>
        <w:tc>
          <w:tcPr>
            <w:tcW w:w="6120" w:type="dxa"/>
            <w:shd w:val="clear" w:color="auto" w:fill="auto"/>
            <w:noWrap/>
            <w:hideMark/>
          </w:tcPr>
          <w:p w:rsidR="00642887" w:rsidRDefault="00642887" w:rsidP="001305B9">
            <w:pPr>
              <w:spacing w:after="0" w:line="240" w:lineRule="auto"/>
            </w:pPr>
            <w:r>
              <w:t>Assistance (</w:t>
            </w:r>
            <w:r w:rsidRPr="002A7CE5">
              <w:t xml:space="preserve">Personal assistance, stand-by </w:t>
            </w:r>
            <w:r>
              <w:t>assistance, supervision or cues) with Activities of Daily Living (ADLs) and/or health-related tasks provided in a person’s home and possibly other community settings. Personal care may include assistance with Instrumental Activities of Daily Living (IADLs).</w:t>
            </w:r>
          </w:p>
          <w:p w:rsidR="00642887" w:rsidRPr="008A71E1" w:rsidRDefault="00642887" w:rsidP="001305B9">
            <w:pPr>
              <w:spacing w:after="0" w:line="240" w:lineRule="auto"/>
              <w:rPr>
                <w:rFonts w:ascii="Calibri" w:eastAsia="Times New Roman" w:hAnsi="Calibri" w:cs="Times New Roman"/>
                <w:color w:val="000000"/>
                <w:sz w:val="20"/>
                <w:szCs w:val="20"/>
              </w:rPr>
            </w:pPr>
            <w:r>
              <w:t>(Source: HCBS taxonomy)</w:t>
            </w:r>
          </w:p>
        </w:tc>
        <w:tc>
          <w:tcPr>
            <w:tcW w:w="1458" w:type="dxa"/>
          </w:tcPr>
          <w:p w:rsidR="00642887" w:rsidRDefault="00642887" w:rsidP="001305B9">
            <w:pPr>
              <w:spacing w:after="0" w:line="240" w:lineRule="auto"/>
            </w:pPr>
            <w:r>
              <w:t>hour</w:t>
            </w:r>
            <w:r w:rsidR="00EE5508">
              <w:t>s</w:t>
            </w:r>
          </w:p>
        </w:tc>
      </w:tr>
      <w:tr w:rsidR="00642887" w:rsidRPr="00F817A4" w:rsidTr="00642887">
        <w:trPr>
          <w:trHeight w:hRule="exact" w:val="1074"/>
        </w:trPr>
        <w:tc>
          <w:tcPr>
            <w:tcW w:w="2718" w:type="dxa"/>
            <w:shd w:val="clear" w:color="auto" w:fill="auto"/>
            <w:noWrap/>
          </w:tcPr>
          <w:p w:rsidR="00642887" w:rsidRDefault="00642887" w:rsidP="001305B9">
            <w:pPr>
              <w:rPr>
                <w:rFonts w:ascii="Calibri" w:hAnsi="Calibri"/>
                <w:color w:val="000000"/>
              </w:rPr>
            </w:pPr>
            <w:r>
              <w:rPr>
                <w:rFonts w:ascii="Calibri" w:hAnsi="Calibri"/>
                <w:color w:val="000000"/>
              </w:rPr>
              <w:t>Homemaker</w:t>
            </w:r>
          </w:p>
        </w:tc>
        <w:tc>
          <w:tcPr>
            <w:tcW w:w="6120" w:type="dxa"/>
            <w:shd w:val="clear" w:color="auto" w:fill="auto"/>
            <w:noWrap/>
          </w:tcPr>
          <w:p w:rsidR="00642887" w:rsidRDefault="00642887" w:rsidP="001305B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Performance of light housekeeping tasks provided in a person’s home and possibly other community settings. Task may include </w:t>
            </w:r>
            <w:r w:rsidRPr="001A72B4">
              <w:rPr>
                <w:rFonts w:ascii="Calibri" w:eastAsia="Times New Roman" w:hAnsi="Calibri" w:cs="Times New Roman"/>
                <w:color w:val="000000"/>
                <w:sz w:val="20"/>
                <w:szCs w:val="20"/>
              </w:rPr>
              <w:t xml:space="preserve">preparing meals, shopping for personal items, managing money, </w:t>
            </w:r>
            <w:r>
              <w:rPr>
                <w:rFonts w:ascii="Calibri" w:eastAsia="Times New Roman" w:hAnsi="Calibri" w:cs="Times New Roman"/>
                <w:color w:val="000000"/>
                <w:sz w:val="20"/>
                <w:szCs w:val="20"/>
              </w:rPr>
              <w:t xml:space="preserve">or </w:t>
            </w:r>
            <w:r w:rsidRPr="001A72B4">
              <w:rPr>
                <w:rFonts w:ascii="Calibri" w:eastAsia="Times New Roman" w:hAnsi="Calibri" w:cs="Times New Roman"/>
                <w:color w:val="000000"/>
                <w:sz w:val="20"/>
                <w:szCs w:val="20"/>
              </w:rPr>
              <w:t xml:space="preserve">using the telephone </w:t>
            </w:r>
            <w:r>
              <w:rPr>
                <w:rFonts w:ascii="Calibri" w:eastAsia="Times New Roman" w:hAnsi="Calibri" w:cs="Times New Roman"/>
                <w:color w:val="000000"/>
                <w:sz w:val="20"/>
                <w:szCs w:val="20"/>
              </w:rPr>
              <w:t xml:space="preserve">in addition to </w:t>
            </w:r>
            <w:r w:rsidRPr="001A72B4">
              <w:rPr>
                <w:rFonts w:ascii="Calibri" w:eastAsia="Times New Roman" w:hAnsi="Calibri" w:cs="Times New Roman"/>
                <w:color w:val="000000"/>
                <w:sz w:val="20"/>
                <w:szCs w:val="20"/>
              </w:rPr>
              <w:t>light housework.</w:t>
            </w:r>
            <w:r>
              <w:rPr>
                <w:rFonts w:ascii="Calibri" w:eastAsia="Times New Roman" w:hAnsi="Calibri" w:cs="Times New Roman"/>
                <w:color w:val="000000"/>
                <w:sz w:val="20"/>
                <w:szCs w:val="20"/>
              </w:rPr>
              <w:t xml:space="preserve"> (Source: HCBS Taxonomy)</w:t>
            </w:r>
          </w:p>
          <w:p w:rsidR="00642887" w:rsidRPr="008A71E1" w:rsidRDefault="00642887" w:rsidP="00B70384">
            <w:pPr>
              <w:spacing w:after="0" w:line="240" w:lineRule="auto"/>
              <w:rPr>
                <w:rFonts w:ascii="Calibri" w:eastAsia="Times New Roman" w:hAnsi="Calibri" w:cs="Times New Roman"/>
                <w:color w:val="000000"/>
                <w:sz w:val="20"/>
                <w:szCs w:val="20"/>
              </w:rPr>
            </w:pPr>
          </w:p>
        </w:tc>
        <w:tc>
          <w:tcPr>
            <w:tcW w:w="1458" w:type="dxa"/>
          </w:tcPr>
          <w:p w:rsidR="00642887" w:rsidRDefault="00642887" w:rsidP="00A30ED0">
            <w:pPr>
              <w:spacing w:after="0" w:line="240" w:lineRule="auto"/>
            </w:pPr>
            <w:r>
              <w:t>hour</w:t>
            </w:r>
            <w:r w:rsidR="00EE5508">
              <w:t>s</w:t>
            </w:r>
          </w:p>
        </w:tc>
      </w:tr>
      <w:tr w:rsidR="00642887" w:rsidRPr="00F817A4" w:rsidTr="00642887">
        <w:trPr>
          <w:trHeight w:hRule="exact" w:val="1200"/>
        </w:trPr>
        <w:tc>
          <w:tcPr>
            <w:tcW w:w="2718" w:type="dxa"/>
            <w:shd w:val="clear" w:color="auto" w:fill="auto"/>
            <w:noWrap/>
          </w:tcPr>
          <w:p w:rsidR="00642887" w:rsidRDefault="00642887" w:rsidP="001305B9">
            <w:pPr>
              <w:rPr>
                <w:rFonts w:ascii="Calibri" w:hAnsi="Calibri"/>
                <w:color w:val="000000"/>
              </w:rPr>
            </w:pPr>
            <w:r>
              <w:rPr>
                <w:rFonts w:ascii="Calibri" w:hAnsi="Calibri"/>
                <w:color w:val="000000"/>
              </w:rPr>
              <w:t>Chore</w:t>
            </w:r>
          </w:p>
        </w:tc>
        <w:tc>
          <w:tcPr>
            <w:tcW w:w="6120" w:type="dxa"/>
            <w:shd w:val="clear" w:color="auto" w:fill="auto"/>
            <w:noWrap/>
          </w:tcPr>
          <w:p w:rsidR="00642887" w:rsidRDefault="00642887" w:rsidP="001305B9">
            <w:pPr>
              <w:spacing w:after="0" w:line="240" w:lineRule="auto"/>
            </w:pPr>
            <w:r>
              <w:t xml:space="preserve">Performance of heavy household tasks provided in a person’s home and possibly other community settings.  Tasks may include </w:t>
            </w:r>
            <w:r w:rsidRPr="002A7CE5">
              <w:t xml:space="preserve">yard work or sidewalk maintenance </w:t>
            </w:r>
            <w:r>
              <w:t xml:space="preserve">in addition to </w:t>
            </w:r>
            <w:r w:rsidRPr="002A7CE5">
              <w:t>heavy housework</w:t>
            </w:r>
            <w:r>
              <w:t>. (Source: HCBS Taxonomy)</w:t>
            </w:r>
          </w:p>
          <w:p w:rsidR="00642887" w:rsidRPr="008A71E1" w:rsidRDefault="00642887" w:rsidP="001305B9">
            <w:pPr>
              <w:spacing w:after="0" w:line="240" w:lineRule="auto"/>
              <w:rPr>
                <w:rFonts w:ascii="Calibri" w:eastAsia="Times New Roman" w:hAnsi="Calibri" w:cs="Times New Roman"/>
                <w:color w:val="000000"/>
                <w:sz w:val="20"/>
                <w:szCs w:val="20"/>
              </w:rPr>
            </w:pPr>
          </w:p>
        </w:tc>
        <w:tc>
          <w:tcPr>
            <w:tcW w:w="1458" w:type="dxa"/>
          </w:tcPr>
          <w:p w:rsidR="00642887" w:rsidRDefault="00642887" w:rsidP="00A30ED0">
            <w:pPr>
              <w:spacing w:after="0" w:line="240" w:lineRule="auto"/>
            </w:pPr>
            <w:r>
              <w:t>hour</w:t>
            </w:r>
            <w:r w:rsidR="00EE5508">
              <w:t>s</w:t>
            </w:r>
          </w:p>
        </w:tc>
      </w:tr>
      <w:tr w:rsidR="00642887" w:rsidRPr="00F817A4" w:rsidTr="00152335">
        <w:trPr>
          <w:trHeight w:hRule="exact" w:val="1308"/>
        </w:trPr>
        <w:tc>
          <w:tcPr>
            <w:tcW w:w="2718" w:type="dxa"/>
            <w:shd w:val="clear" w:color="auto" w:fill="auto"/>
            <w:noWrap/>
          </w:tcPr>
          <w:p w:rsidR="00642887" w:rsidRDefault="00642887" w:rsidP="001305B9">
            <w:pPr>
              <w:rPr>
                <w:rFonts w:ascii="Calibri" w:hAnsi="Calibri"/>
                <w:color w:val="000000"/>
              </w:rPr>
            </w:pPr>
            <w:r>
              <w:rPr>
                <w:rFonts w:ascii="Calibri" w:hAnsi="Calibri"/>
                <w:color w:val="000000"/>
              </w:rPr>
              <w:t>Home Delivered Meals</w:t>
            </w:r>
          </w:p>
        </w:tc>
        <w:tc>
          <w:tcPr>
            <w:tcW w:w="6120" w:type="dxa"/>
            <w:shd w:val="clear" w:color="auto" w:fill="auto"/>
            <w:noWrap/>
          </w:tcPr>
          <w:p w:rsidR="00642887" w:rsidRPr="008A71E1" w:rsidRDefault="00642887" w:rsidP="001305B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A meal provided </w:t>
            </w:r>
            <w:r w:rsidR="00416597">
              <w:rPr>
                <w:rFonts w:ascii="Calibri" w:eastAsia="Times New Roman" w:hAnsi="Calibri" w:cs="Times New Roman"/>
                <w:color w:val="000000"/>
                <w:sz w:val="20"/>
                <w:szCs w:val="20"/>
              </w:rPr>
              <w:t>to a qualified individual in his</w:t>
            </w:r>
            <w:r>
              <w:rPr>
                <w:rFonts w:ascii="Calibri" w:eastAsia="Times New Roman" w:hAnsi="Calibri" w:cs="Times New Roman"/>
                <w:color w:val="000000"/>
                <w:sz w:val="20"/>
                <w:szCs w:val="20"/>
              </w:rPr>
              <w:t>/her place of residence. The meal is served in a program administered by SUAs and/or AAAs and meets all the requirements of the Older Americans Act and State/Local laws.  Meals provided to individual through means-tested programs may be included. (Source: OAA)</w:t>
            </w:r>
          </w:p>
        </w:tc>
        <w:tc>
          <w:tcPr>
            <w:tcW w:w="1458" w:type="dxa"/>
          </w:tcPr>
          <w:p w:rsidR="00642887" w:rsidRDefault="00D12941" w:rsidP="001305B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m</w:t>
            </w:r>
            <w:r w:rsidR="00642887">
              <w:rPr>
                <w:rFonts w:ascii="Calibri" w:eastAsia="Times New Roman" w:hAnsi="Calibri" w:cs="Times New Roman"/>
                <w:color w:val="000000"/>
                <w:sz w:val="20"/>
                <w:szCs w:val="20"/>
              </w:rPr>
              <w:t>eal</w:t>
            </w:r>
          </w:p>
        </w:tc>
      </w:tr>
      <w:tr w:rsidR="00642887" w:rsidRPr="00F817A4" w:rsidTr="00642887">
        <w:trPr>
          <w:trHeight w:hRule="exact" w:val="1740"/>
        </w:trPr>
        <w:tc>
          <w:tcPr>
            <w:tcW w:w="2718" w:type="dxa"/>
            <w:shd w:val="clear" w:color="auto" w:fill="auto"/>
            <w:noWrap/>
          </w:tcPr>
          <w:p w:rsidR="00642887" w:rsidRDefault="00642887" w:rsidP="001305B9">
            <w:pPr>
              <w:rPr>
                <w:rFonts w:ascii="Calibri" w:hAnsi="Calibri"/>
                <w:color w:val="000000"/>
              </w:rPr>
            </w:pPr>
            <w:r>
              <w:rPr>
                <w:rFonts w:ascii="Calibri" w:hAnsi="Calibri"/>
                <w:color w:val="000000"/>
              </w:rPr>
              <w:t>Adult Day Care/Health</w:t>
            </w:r>
          </w:p>
        </w:tc>
        <w:tc>
          <w:tcPr>
            <w:tcW w:w="6120" w:type="dxa"/>
            <w:shd w:val="clear" w:color="auto" w:fill="auto"/>
            <w:noWrap/>
          </w:tcPr>
          <w:p w:rsidR="00642887" w:rsidRPr="008A71E1" w:rsidRDefault="00642887" w:rsidP="001305B9">
            <w:pPr>
              <w:spacing w:after="0" w:line="240" w:lineRule="auto"/>
              <w:rPr>
                <w:rFonts w:ascii="Calibri" w:eastAsia="Times New Roman" w:hAnsi="Calibri" w:cs="Times New Roman"/>
                <w:color w:val="000000"/>
                <w:sz w:val="20"/>
                <w:szCs w:val="20"/>
              </w:rPr>
            </w:pPr>
            <w:r>
              <w:t>Services or activities provided to adults who require care and supervision in a protective setting for a portion of a 24-hour day. Includes out of home supervision, health care, recreation, and/or independent living skills training offered in centers most commonly known as Adult Day, Adult Day Health, Senior Centers, and Disability Day Programs. (Source: NAMRS)</w:t>
            </w:r>
          </w:p>
        </w:tc>
        <w:tc>
          <w:tcPr>
            <w:tcW w:w="1458" w:type="dxa"/>
          </w:tcPr>
          <w:p w:rsidR="00642887" w:rsidRDefault="00EE5508" w:rsidP="00D1142E">
            <w:pPr>
              <w:spacing w:after="0" w:line="240" w:lineRule="auto"/>
            </w:pPr>
            <w:r>
              <w:t>D</w:t>
            </w:r>
            <w:r w:rsidR="00D1142E" w:rsidRPr="00A364B3">
              <w:t>ay. 1 day is equal to 8 hours</w:t>
            </w:r>
          </w:p>
        </w:tc>
      </w:tr>
      <w:tr w:rsidR="00642887" w:rsidRPr="00F817A4" w:rsidTr="00A364B3">
        <w:trPr>
          <w:trHeight w:hRule="exact" w:val="9012"/>
        </w:trPr>
        <w:tc>
          <w:tcPr>
            <w:tcW w:w="2718" w:type="dxa"/>
            <w:shd w:val="clear" w:color="auto" w:fill="auto"/>
            <w:noWrap/>
          </w:tcPr>
          <w:p w:rsidR="00642887" w:rsidRDefault="00642887" w:rsidP="001305B9">
            <w:pPr>
              <w:rPr>
                <w:rFonts w:ascii="Calibri" w:hAnsi="Calibri"/>
                <w:color w:val="000000"/>
              </w:rPr>
            </w:pPr>
            <w:r>
              <w:rPr>
                <w:rFonts w:ascii="Calibri" w:hAnsi="Calibri"/>
                <w:color w:val="000000"/>
              </w:rPr>
              <w:t>Case Management</w:t>
            </w:r>
          </w:p>
        </w:tc>
        <w:tc>
          <w:tcPr>
            <w:tcW w:w="6120" w:type="dxa"/>
            <w:shd w:val="clear" w:color="auto" w:fill="auto"/>
            <w:noWrap/>
          </w:tcPr>
          <w:p w:rsidR="00642887" w:rsidRDefault="00A364B3" w:rsidP="001305B9">
            <w:pPr>
              <w:spacing w:after="0" w:line="240" w:lineRule="auto"/>
            </w:pPr>
            <w:r>
              <w:t>M</w:t>
            </w:r>
            <w:r w:rsidR="00642887">
              <w:t>eans a service provided to an older individual, at the direction of the older individual or a family member of the individual:</w:t>
            </w:r>
          </w:p>
          <w:p w:rsidR="00642887" w:rsidRDefault="00642887" w:rsidP="00A364B3">
            <w:pPr>
              <w:pStyle w:val="ListParagraph"/>
              <w:numPr>
                <w:ilvl w:val="0"/>
                <w:numId w:val="3"/>
              </w:numPr>
              <w:spacing w:after="0" w:line="240" w:lineRule="auto"/>
              <w:ind w:left="342" w:hanging="180"/>
            </w:pPr>
            <w:r>
              <w:t>by an individual who is trained or experienced in the case management skills that are required to deliver the services and coordinati</w:t>
            </w:r>
            <w:r w:rsidR="00A364B3">
              <w:t>on described in subparagraph</w:t>
            </w:r>
            <w:r>
              <w:t xml:space="preserve">; and </w:t>
            </w:r>
          </w:p>
          <w:p w:rsidR="00642887" w:rsidRDefault="00642887" w:rsidP="00A364B3">
            <w:pPr>
              <w:pStyle w:val="ListParagraph"/>
              <w:numPr>
                <w:ilvl w:val="0"/>
                <w:numId w:val="3"/>
              </w:numPr>
              <w:spacing w:after="0" w:line="240" w:lineRule="auto"/>
              <w:ind w:left="342" w:hanging="180"/>
            </w:pPr>
            <w:r>
              <w:t xml:space="preserve">to assess the needs, and to arrange, coordinate, and monitor an optimum package of services to meet the needs, of the older individual; and </w:t>
            </w:r>
          </w:p>
          <w:p w:rsidR="00642887" w:rsidRDefault="00A364B3" w:rsidP="001305B9">
            <w:pPr>
              <w:spacing w:after="0" w:line="240" w:lineRule="auto"/>
            </w:pPr>
            <w:r>
              <w:t>I</w:t>
            </w:r>
            <w:r w:rsidR="00642887">
              <w:t xml:space="preserve">ncludes services and coordination such as— </w:t>
            </w:r>
          </w:p>
          <w:p w:rsidR="00642887" w:rsidRDefault="00642887" w:rsidP="00A364B3">
            <w:pPr>
              <w:pStyle w:val="ListParagraph"/>
              <w:numPr>
                <w:ilvl w:val="0"/>
                <w:numId w:val="4"/>
              </w:numPr>
              <w:spacing w:after="0" w:line="240" w:lineRule="auto"/>
              <w:ind w:left="342" w:hanging="180"/>
            </w:pPr>
            <w:r>
              <w:t xml:space="preserve">comprehensive assessment of the older individual (including the physical, psychological, and social needs of the individual); </w:t>
            </w:r>
          </w:p>
          <w:p w:rsidR="00A364B3" w:rsidRDefault="00642887" w:rsidP="00A364B3">
            <w:pPr>
              <w:pStyle w:val="ListParagraph"/>
              <w:numPr>
                <w:ilvl w:val="0"/>
                <w:numId w:val="4"/>
              </w:numPr>
              <w:spacing w:after="0" w:line="240" w:lineRule="auto"/>
              <w:ind w:left="342" w:hanging="180"/>
            </w:pPr>
            <w:r>
              <w:t xml:space="preserve">development and implementation of a service plan with the older individual to mobilize the formal and informal resources and services identified in the assessment to meet the needs of the older individual, including coordination of the resources and services— </w:t>
            </w:r>
          </w:p>
          <w:p w:rsidR="00A364B3" w:rsidRDefault="00642887" w:rsidP="00A364B3">
            <w:pPr>
              <w:pStyle w:val="ListParagraph"/>
              <w:numPr>
                <w:ilvl w:val="1"/>
                <w:numId w:val="4"/>
              </w:numPr>
              <w:spacing w:after="0" w:line="240" w:lineRule="auto"/>
            </w:pPr>
            <w:r>
              <w:t xml:space="preserve">with any other plans that exist for various formal services, such as hospital discharge plans; and </w:t>
            </w:r>
          </w:p>
          <w:p w:rsidR="00A364B3" w:rsidRDefault="00642887" w:rsidP="00A364B3">
            <w:pPr>
              <w:pStyle w:val="ListParagraph"/>
              <w:numPr>
                <w:ilvl w:val="1"/>
                <w:numId w:val="4"/>
              </w:numPr>
              <w:spacing w:after="0" w:line="240" w:lineRule="auto"/>
            </w:pPr>
            <w:r>
              <w:t xml:space="preserve">with the information and assistance services provided under </w:t>
            </w:r>
            <w:r w:rsidR="00B72521">
              <w:t>the Older Americans</w:t>
            </w:r>
            <w:r>
              <w:t xml:space="preserve"> Act; </w:t>
            </w:r>
          </w:p>
          <w:p w:rsidR="00A364B3" w:rsidRDefault="00642887" w:rsidP="00A364B3">
            <w:pPr>
              <w:pStyle w:val="ListParagraph"/>
              <w:numPr>
                <w:ilvl w:val="0"/>
                <w:numId w:val="4"/>
              </w:numPr>
              <w:spacing w:after="0" w:line="240" w:lineRule="auto"/>
              <w:ind w:left="342" w:hanging="180"/>
            </w:pPr>
            <w:r>
              <w:t xml:space="preserve">coordination and monitoring of formal and informal service delivery, including coordination and monitoring to ensure that services specified in the plan are being provided; </w:t>
            </w:r>
          </w:p>
          <w:p w:rsidR="00A364B3" w:rsidRDefault="00642887" w:rsidP="00A364B3">
            <w:pPr>
              <w:pStyle w:val="ListParagraph"/>
              <w:numPr>
                <w:ilvl w:val="1"/>
                <w:numId w:val="4"/>
              </w:numPr>
              <w:spacing w:after="0" w:line="240" w:lineRule="auto"/>
            </w:pPr>
            <w:r>
              <w:t xml:space="preserve">periodic reassessment and revision of the status of the older individual with— </w:t>
            </w:r>
          </w:p>
          <w:p w:rsidR="00A364B3" w:rsidRDefault="00642887" w:rsidP="00A364B3">
            <w:pPr>
              <w:pStyle w:val="ListParagraph"/>
              <w:numPr>
                <w:ilvl w:val="1"/>
                <w:numId w:val="4"/>
              </w:numPr>
              <w:spacing w:after="0" w:line="240" w:lineRule="auto"/>
            </w:pPr>
            <w:r>
              <w:t xml:space="preserve">the older individual; or </w:t>
            </w:r>
          </w:p>
          <w:p w:rsidR="00A364B3" w:rsidRDefault="00642887" w:rsidP="00A364B3">
            <w:pPr>
              <w:pStyle w:val="ListParagraph"/>
              <w:numPr>
                <w:ilvl w:val="1"/>
                <w:numId w:val="4"/>
              </w:numPr>
              <w:spacing w:after="0" w:line="240" w:lineRule="auto"/>
            </w:pPr>
            <w:r>
              <w:t xml:space="preserve">if necessary, a primary caregiver or family member of the older individual; and </w:t>
            </w:r>
          </w:p>
          <w:p w:rsidR="00642887" w:rsidRDefault="00642887" w:rsidP="00A364B3">
            <w:pPr>
              <w:pStyle w:val="ListParagraph"/>
              <w:numPr>
                <w:ilvl w:val="1"/>
                <w:numId w:val="4"/>
              </w:numPr>
              <w:spacing w:after="0" w:line="240" w:lineRule="auto"/>
            </w:pPr>
            <w:proofErr w:type="gramStart"/>
            <w:r>
              <w:t>in</w:t>
            </w:r>
            <w:proofErr w:type="gramEnd"/>
            <w:r>
              <w:t xml:space="preserve"> accordance with the wishes of the older individual, advocacy on behalf of the older individual for needed services or resources.</w:t>
            </w:r>
          </w:p>
          <w:p w:rsidR="00642887" w:rsidRPr="001305B9" w:rsidRDefault="00642887" w:rsidP="00B70384">
            <w:pPr>
              <w:spacing w:after="0" w:line="240" w:lineRule="auto"/>
              <w:rPr>
                <w:rFonts w:ascii="Calibri" w:eastAsia="Times New Roman" w:hAnsi="Calibri" w:cs="Times New Roman"/>
                <w:color w:val="000000"/>
                <w:sz w:val="20"/>
                <w:szCs w:val="20"/>
              </w:rPr>
            </w:pPr>
            <w:r>
              <w:t>(Source: OAA)</w:t>
            </w:r>
          </w:p>
        </w:tc>
        <w:tc>
          <w:tcPr>
            <w:tcW w:w="1458" w:type="dxa"/>
          </w:tcPr>
          <w:p w:rsidR="00642887" w:rsidRDefault="00D12941" w:rsidP="001305B9">
            <w:pPr>
              <w:spacing w:after="0" w:line="240" w:lineRule="auto"/>
            </w:pPr>
            <w:r>
              <w:t>hour</w:t>
            </w:r>
            <w:r w:rsidR="008903F5">
              <w:t>s</w:t>
            </w:r>
          </w:p>
        </w:tc>
      </w:tr>
      <w:tr w:rsidR="00642887" w:rsidRPr="00F817A4" w:rsidTr="00642887">
        <w:trPr>
          <w:trHeight w:hRule="exact" w:val="1353"/>
        </w:trPr>
        <w:tc>
          <w:tcPr>
            <w:tcW w:w="2718" w:type="dxa"/>
            <w:shd w:val="clear" w:color="auto" w:fill="auto"/>
            <w:noWrap/>
          </w:tcPr>
          <w:p w:rsidR="00642887" w:rsidRDefault="00642887" w:rsidP="001305B9">
            <w:pPr>
              <w:rPr>
                <w:rFonts w:ascii="Calibri" w:hAnsi="Calibri"/>
                <w:color w:val="000000"/>
              </w:rPr>
            </w:pPr>
            <w:r>
              <w:rPr>
                <w:rFonts w:ascii="Calibri" w:hAnsi="Calibri"/>
                <w:color w:val="000000"/>
              </w:rPr>
              <w:t>Assisted Transportation</w:t>
            </w:r>
          </w:p>
        </w:tc>
        <w:tc>
          <w:tcPr>
            <w:tcW w:w="6120" w:type="dxa"/>
            <w:shd w:val="clear" w:color="auto" w:fill="auto"/>
            <w:noWrap/>
          </w:tcPr>
          <w:p w:rsidR="00642887" w:rsidRPr="008A71E1" w:rsidRDefault="00642887" w:rsidP="00186AF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Services or activities that provide or arrange for the travel, including travel costs, of individuals from one location to another.  This service includes escort or other appropriate assistance for a person who has difficulties (physical or cognitive) using regular vehicular transportation. Does not include any other activity. (Source: NAMRS/HCBS)</w:t>
            </w:r>
          </w:p>
        </w:tc>
        <w:tc>
          <w:tcPr>
            <w:tcW w:w="1458" w:type="dxa"/>
          </w:tcPr>
          <w:p w:rsidR="00642887" w:rsidRDefault="00D12941" w:rsidP="00D1294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one way trip</w:t>
            </w:r>
          </w:p>
        </w:tc>
      </w:tr>
      <w:tr w:rsidR="00642887" w:rsidRPr="00F817A4" w:rsidTr="00416597">
        <w:trPr>
          <w:trHeight w:hRule="exact" w:val="1344"/>
        </w:trPr>
        <w:tc>
          <w:tcPr>
            <w:tcW w:w="2718" w:type="dxa"/>
            <w:shd w:val="clear" w:color="auto" w:fill="auto"/>
            <w:noWrap/>
          </w:tcPr>
          <w:p w:rsidR="00642887" w:rsidRDefault="00642887" w:rsidP="001305B9">
            <w:pPr>
              <w:rPr>
                <w:rFonts w:ascii="Calibri" w:hAnsi="Calibri"/>
                <w:color w:val="000000"/>
              </w:rPr>
            </w:pPr>
            <w:r>
              <w:rPr>
                <w:rFonts w:ascii="Calibri" w:hAnsi="Calibri"/>
                <w:color w:val="000000"/>
              </w:rPr>
              <w:t>Congregate Meals</w:t>
            </w:r>
          </w:p>
        </w:tc>
        <w:tc>
          <w:tcPr>
            <w:tcW w:w="6120" w:type="dxa"/>
            <w:shd w:val="clear" w:color="auto" w:fill="auto"/>
            <w:noWrap/>
          </w:tcPr>
          <w:p w:rsidR="00642887" w:rsidRPr="008A71E1" w:rsidRDefault="00642887" w:rsidP="001305B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 meal provided to a qualified individual in a congregate or group setting.  The meal is served in a program administered by SUAs and/or AAAs and meets all the requirements of the Older Americans Act and State/Local laws.  Meals provided to individual through means-tested programs may be included. (Source: OAA)</w:t>
            </w:r>
          </w:p>
        </w:tc>
        <w:tc>
          <w:tcPr>
            <w:tcW w:w="1458" w:type="dxa"/>
          </w:tcPr>
          <w:p w:rsidR="00642887" w:rsidRDefault="00D12941" w:rsidP="001305B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meal</w:t>
            </w:r>
          </w:p>
        </w:tc>
      </w:tr>
      <w:tr w:rsidR="00642887" w:rsidRPr="00F817A4" w:rsidTr="008903F5">
        <w:trPr>
          <w:trHeight w:hRule="exact" w:val="2712"/>
        </w:trPr>
        <w:tc>
          <w:tcPr>
            <w:tcW w:w="2718" w:type="dxa"/>
            <w:shd w:val="clear" w:color="auto" w:fill="auto"/>
            <w:noWrap/>
          </w:tcPr>
          <w:p w:rsidR="00642887" w:rsidRDefault="00642887" w:rsidP="001305B9">
            <w:pPr>
              <w:rPr>
                <w:rFonts w:ascii="Calibri" w:hAnsi="Calibri"/>
                <w:color w:val="000000"/>
              </w:rPr>
            </w:pPr>
            <w:r>
              <w:rPr>
                <w:rFonts w:ascii="Calibri" w:hAnsi="Calibri"/>
                <w:color w:val="000000"/>
              </w:rPr>
              <w:t>Nutrition Counseling</w:t>
            </w:r>
          </w:p>
        </w:tc>
        <w:tc>
          <w:tcPr>
            <w:tcW w:w="6120" w:type="dxa"/>
            <w:shd w:val="clear" w:color="auto" w:fill="auto"/>
            <w:noWrap/>
          </w:tcPr>
          <w:p w:rsidR="00642887" w:rsidRPr="008A71E1" w:rsidRDefault="00642887" w:rsidP="001305B9">
            <w:pPr>
              <w:spacing w:after="0" w:line="240" w:lineRule="auto"/>
              <w:rPr>
                <w:rFonts w:ascii="Calibri" w:eastAsia="Times New Roman" w:hAnsi="Calibri" w:cs="Times New Roman"/>
                <w:color w:val="000000"/>
                <w:sz w:val="20"/>
                <w:szCs w:val="20"/>
              </w:rPr>
            </w:pPr>
            <w:r w:rsidRPr="002A7CE5">
              <w:t>A standardized service as defined by the Academy of Nutrition &amp; Dietetics (AND) that provides individualized guidance to individuals who are at nutritional risk because of their health or nutrition history, dietary intake, chronic illness, or medication use, or to caregivers.  Counseling is provided one-on-one by a registered dietitian, and addresses the options and methods for improving nutrition status with a measurable goal.</w:t>
            </w:r>
            <w:r>
              <w:t xml:space="preserve"> (Source: Input Committee)</w:t>
            </w:r>
          </w:p>
        </w:tc>
        <w:tc>
          <w:tcPr>
            <w:tcW w:w="1458" w:type="dxa"/>
          </w:tcPr>
          <w:p w:rsidR="00642887" w:rsidRDefault="008903F5" w:rsidP="00D1142E">
            <w:pPr>
              <w:spacing w:after="0" w:line="240" w:lineRule="auto"/>
            </w:pPr>
            <w:r>
              <w:t>person hours</w:t>
            </w:r>
          </w:p>
          <w:p w:rsidR="008903F5" w:rsidRPr="002A7CE5" w:rsidRDefault="008903F5" w:rsidP="00D1142E">
            <w:pPr>
              <w:spacing w:after="0" w:line="240" w:lineRule="auto"/>
            </w:pPr>
            <w:r>
              <w:t>(e.g. 2 persons participate in 1 hour of counseling equals 2 person hours)</w:t>
            </w:r>
          </w:p>
        </w:tc>
      </w:tr>
      <w:tr w:rsidR="00642887" w:rsidRPr="00F817A4" w:rsidTr="009E11AD">
        <w:trPr>
          <w:trHeight w:hRule="exact" w:val="2244"/>
        </w:trPr>
        <w:tc>
          <w:tcPr>
            <w:tcW w:w="2718" w:type="dxa"/>
            <w:shd w:val="clear" w:color="auto" w:fill="auto"/>
            <w:noWrap/>
          </w:tcPr>
          <w:p w:rsidR="00642887" w:rsidRDefault="00642887" w:rsidP="001305B9">
            <w:pPr>
              <w:rPr>
                <w:rFonts w:ascii="Calibri" w:hAnsi="Calibri"/>
                <w:color w:val="000000"/>
              </w:rPr>
            </w:pPr>
            <w:r>
              <w:rPr>
                <w:rFonts w:ascii="Calibri" w:hAnsi="Calibri"/>
                <w:color w:val="000000"/>
              </w:rPr>
              <w:t>Legal Assistance</w:t>
            </w:r>
          </w:p>
          <w:p w:rsidR="00642887" w:rsidRDefault="00642887" w:rsidP="001305B9">
            <w:pPr>
              <w:rPr>
                <w:rFonts w:ascii="Calibri" w:hAnsi="Calibri"/>
                <w:color w:val="000000"/>
              </w:rPr>
            </w:pPr>
          </w:p>
        </w:tc>
        <w:tc>
          <w:tcPr>
            <w:tcW w:w="6120" w:type="dxa"/>
            <w:shd w:val="clear" w:color="auto" w:fill="auto"/>
            <w:noWrap/>
          </w:tcPr>
          <w:p w:rsidR="009E11AD" w:rsidRPr="001A72B4" w:rsidRDefault="00642887" w:rsidP="001305B9">
            <w:pPr>
              <w:spacing w:after="0" w:line="240" w:lineRule="auto"/>
            </w:pPr>
            <w:r w:rsidRPr="00FA3AF7">
              <w:t>legal advice and representation provided by an attorney to older individuals with economic or social needs as defined in the Older Americans Act, Sections 102(a)(23 and (24), and in the implementing regulation at 45 CFR Section 1321.71, and includes to the extent feasible, counseling or other appropriate assistance by a paralegal or law student under the direct supervision of a lawyer and counseling or representation by a non</w:t>
            </w:r>
            <w:r w:rsidR="003B2855">
              <w:t>-</w:t>
            </w:r>
            <w:r w:rsidRPr="00FA3AF7">
              <w:t>lawyer where permitted by law</w:t>
            </w:r>
            <w:r>
              <w:t xml:space="preserve"> (Source: OAA)</w:t>
            </w:r>
          </w:p>
        </w:tc>
        <w:tc>
          <w:tcPr>
            <w:tcW w:w="1458" w:type="dxa"/>
          </w:tcPr>
          <w:p w:rsidR="00642887" w:rsidRPr="00FA3AF7" w:rsidRDefault="00D12941" w:rsidP="001305B9">
            <w:pPr>
              <w:spacing w:after="0" w:line="240" w:lineRule="auto"/>
            </w:pPr>
            <w:r>
              <w:t>hour</w:t>
            </w:r>
            <w:r w:rsidR="008903F5">
              <w:t>s</w:t>
            </w:r>
          </w:p>
        </w:tc>
      </w:tr>
      <w:tr w:rsidR="00642887" w:rsidRPr="00F817A4" w:rsidTr="00642887">
        <w:trPr>
          <w:trHeight w:hRule="exact" w:val="903"/>
        </w:trPr>
        <w:tc>
          <w:tcPr>
            <w:tcW w:w="2718" w:type="dxa"/>
            <w:shd w:val="clear" w:color="auto" w:fill="auto"/>
            <w:noWrap/>
          </w:tcPr>
          <w:p w:rsidR="00642887" w:rsidRDefault="00642887" w:rsidP="001305B9">
            <w:pPr>
              <w:rPr>
                <w:rFonts w:ascii="Calibri" w:hAnsi="Calibri"/>
                <w:color w:val="000000"/>
              </w:rPr>
            </w:pPr>
            <w:r>
              <w:rPr>
                <w:rFonts w:ascii="Calibri" w:hAnsi="Calibri"/>
                <w:color w:val="000000"/>
              </w:rPr>
              <w:t>Transportation</w:t>
            </w:r>
          </w:p>
        </w:tc>
        <w:tc>
          <w:tcPr>
            <w:tcW w:w="6120" w:type="dxa"/>
            <w:shd w:val="clear" w:color="auto" w:fill="auto"/>
            <w:noWrap/>
          </w:tcPr>
          <w:p w:rsidR="00642887" w:rsidRPr="008A71E1" w:rsidRDefault="00642887" w:rsidP="0000558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Services or activities that provide or arrange for the travel, including travel costs, of individuals from one location to another. Does not include any other activity.  (Source: NAMRS/HCBS)</w:t>
            </w:r>
          </w:p>
        </w:tc>
        <w:tc>
          <w:tcPr>
            <w:tcW w:w="1458" w:type="dxa"/>
          </w:tcPr>
          <w:p w:rsidR="00642887" w:rsidRDefault="00D12941" w:rsidP="0000558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one way trip</w:t>
            </w:r>
          </w:p>
        </w:tc>
      </w:tr>
      <w:tr w:rsidR="00642887" w:rsidRPr="00F817A4" w:rsidTr="008903F5">
        <w:trPr>
          <w:trHeight w:hRule="exact" w:val="1983"/>
        </w:trPr>
        <w:tc>
          <w:tcPr>
            <w:tcW w:w="2718" w:type="dxa"/>
            <w:shd w:val="clear" w:color="auto" w:fill="auto"/>
            <w:noWrap/>
          </w:tcPr>
          <w:p w:rsidR="00642887" w:rsidRDefault="00642887" w:rsidP="001305B9">
            <w:pPr>
              <w:rPr>
                <w:rFonts w:ascii="Calibri" w:hAnsi="Calibri"/>
                <w:color w:val="000000"/>
              </w:rPr>
            </w:pPr>
            <w:r>
              <w:rPr>
                <w:rFonts w:ascii="Calibri" w:hAnsi="Calibri"/>
                <w:color w:val="000000"/>
              </w:rPr>
              <w:t>Nutrition Education</w:t>
            </w:r>
          </w:p>
        </w:tc>
        <w:tc>
          <w:tcPr>
            <w:tcW w:w="6120" w:type="dxa"/>
            <w:shd w:val="clear" w:color="auto" w:fill="auto"/>
            <w:noWrap/>
          </w:tcPr>
          <w:p w:rsidR="00642887" w:rsidRPr="008A71E1" w:rsidRDefault="00642887" w:rsidP="001305B9">
            <w:pPr>
              <w:spacing w:after="0" w:line="240" w:lineRule="auto"/>
              <w:rPr>
                <w:rFonts w:ascii="Calibri" w:eastAsia="Times New Roman" w:hAnsi="Calibri" w:cs="Times New Roman"/>
                <w:color w:val="000000"/>
                <w:sz w:val="20"/>
                <w:szCs w:val="20"/>
              </w:rPr>
            </w:pPr>
            <w:r w:rsidRPr="002A7CE5">
              <w:t>A targeted program to promote better health by providing accurate and culturally sensitive nutrition, physical fitness, or health (as it relates to nutrition) information and instruction to participants, caregivers, or participants and caregivers in a group or individual setting overseen by a dietitian or individual of comparable expertise.</w:t>
            </w:r>
            <w:r>
              <w:t xml:space="preserve"> (Source: Input Committee)</w:t>
            </w:r>
          </w:p>
        </w:tc>
        <w:tc>
          <w:tcPr>
            <w:tcW w:w="1458" w:type="dxa"/>
          </w:tcPr>
          <w:p w:rsidR="00642887" w:rsidRPr="002A7CE5" w:rsidRDefault="008903F5" w:rsidP="001305B9">
            <w:pPr>
              <w:spacing w:after="0" w:line="240" w:lineRule="auto"/>
            </w:pPr>
            <w:r>
              <w:t>person hours (e.g. 10 people attend 1 hour of education = 10 person hours)</w:t>
            </w:r>
          </w:p>
        </w:tc>
      </w:tr>
      <w:tr w:rsidR="00642887" w:rsidRPr="00F817A4" w:rsidTr="00CA679A">
        <w:trPr>
          <w:trHeight w:hRule="exact" w:val="5025"/>
        </w:trPr>
        <w:tc>
          <w:tcPr>
            <w:tcW w:w="2718" w:type="dxa"/>
            <w:shd w:val="clear" w:color="auto" w:fill="auto"/>
            <w:noWrap/>
          </w:tcPr>
          <w:p w:rsidR="00642887" w:rsidRDefault="00642887" w:rsidP="001305B9">
            <w:pPr>
              <w:rPr>
                <w:rFonts w:ascii="Calibri" w:hAnsi="Calibri"/>
                <w:color w:val="000000"/>
              </w:rPr>
            </w:pPr>
            <w:r>
              <w:rPr>
                <w:rFonts w:ascii="Calibri" w:hAnsi="Calibri"/>
                <w:color w:val="000000"/>
              </w:rPr>
              <w:t>Information and Assistance</w:t>
            </w:r>
          </w:p>
        </w:tc>
        <w:tc>
          <w:tcPr>
            <w:tcW w:w="6120" w:type="dxa"/>
            <w:shd w:val="clear" w:color="auto" w:fill="auto"/>
            <w:noWrap/>
          </w:tcPr>
          <w:p w:rsidR="00642887" w:rsidRDefault="00642887" w:rsidP="001305B9">
            <w:pPr>
              <w:spacing w:after="0" w:line="240" w:lineRule="auto"/>
            </w:pPr>
            <w:r>
              <w:t>A service that:</w:t>
            </w:r>
          </w:p>
          <w:p w:rsidR="00CA679A" w:rsidRDefault="00642887" w:rsidP="001305B9">
            <w:pPr>
              <w:pStyle w:val="ListParagraph"/>
              <w:numPr>
                <w:ilvl w:val="0"/>
                <w:numId w:val="5"/>
              </w:numPr>
              <w:spacing w:after="0" w:line="240" w:lineRule="auto"/>
              <w:ind w:left="342" w:hanging="180"/>
            </w:pPr>
            <w:r>
              <w:t xml:space="preserve">provides the individuals with current information on opportunities and services available to the individuals within their communities, including information relating to assistive technology; </w:t>
            </w:r>
          </w:p>
          <w:p w:rsidR="00CA679A" w:rsidRDefault="00642887" w:rsidP="001305B9">
            <w:pPr>
              <w:pStyle w:val="ListParagraph"/>
              <w:numPr>
                <w:ilvl w:val="0"/>
                <w:numId w:val="5"/>
              </w:numPr>
              <w:spacing w:after="0" w:line="240" w:lineRule="auto"/>
              <w:ind w:left="342" w:hanging="180"/>
            </w:pPr>
            <w:r>
              <w:t xml:space="preserve">assesses the problems and capacities of the individuals; </w:t>
            </w:r>
          </w:p>
          <w:p w:rsidR="00CA679A" w:rsidRDefault="00642887" w:rsidP="001305B9">
            <w:pPr>
              <w:pStyle w:val="ListParagraph"/>
              <w:numPr>
                <w:ilvl w:val="0"/>
                <w:numId w:val="5"/>
              </w:numPr>
              <w:spacing w:after="0" w:line="240" w:lineRule="auto"/>
              <w:ind w:left="342" w:hanging="180"/>
            </w:pPr>
            <w:r>
              <w:t xml:space="preserve">links the individuals to the opportunities and services that are available; </w:t>
            </w:r>
          </w:p>
          <w:p w:rsidR="00CA679A" w:rsidRDefault="00642887" w:rsidP="001305B9">
            <w:pPr>
              <w:pStyle w:val="ListParagraph"/>
              <w:numPr>
                <w:ilvl w:val="0"/>
                <w:numId w:val="5"/>
              </w:numPr>
              <w:spacing w:after="0" w:line="240" w:lineRule="auto"/>
              <w:ind w:left="342" w:hanging="180"/>
            </w:pPr>
            <w:r>
              <w:t xml:space="preserve">to the maximum extent practicable, ensures that the individuals receive the services needed by the individuals, and are aware of the opportunities available to the individuals, by establishing adequate follow-up procedures; and </w:t>
            </w:r>
          </w:p>
          <w:p w:rsidR="00CA679A" w:rsidRDefault="00642887" w:rsidP="001305B9">
            <w:pPr>
              <w:pStyle w:val="ListParagraph"/>
              <w:numPr>
                <w:ilvl w:val="0"/>
                <w:numId w:val="5"/>
              </w:numPr>
              <w:spacing w:after="0" w:line="240" w:lineRule="auto"/>
              <w:ind w:left="342" w:hanging="180"/>
            </w:pPr>
            <w:r>
              <w:t>serves the entire community of older</w:t>
            </w:r>
            <w:r w:rsidR="00CA679A">
              <w:t xml:space="preserve"> individuals, particularly— </w:t>
            </w:r>
          </w:p>
          <w:p w:rsidR="00CA679A" w:rsidRDefault="00642887" w:rsidP="00CA679A">
            <w:pPr>
              <w:pStyle w:val="ListParagraph"/>
              <w:numPr>
                <w:ilvl w:val="1"/>
                <w:numId w:val="5"/>
              </w:numPr>
              <w:spacing w:after="0" w:line="240" w:lineRule="auto"/>
              <w:ind w:left="702"/>
            </w:pPr>
            <w:r>
              <w:t xml:space="preserve">older individuals </w:t>
            </w:r>
            <w:r w:rsidR="00CA679A">
              <w:t xml:space="preserve">with greatest social need; </w:t>
            </w:r>
          </w:p>
          <w:p w:rsidR="00CA679A" w:rsidRDefault="00642887" w:rsidP="00CA679A">
            <w:pPr>
              <w:pStyle w:val="ListParagraph"/>
              <w:numPr>
                <w:ilvl w:val="1"/>
                <w:numId w:val="5"/>
              </w:numPr>
              <w:spacing w:after="0" w:line="240" w:lineRule="auto"/>
              <w:ind w:left="702"/>
            </w:pPr>
            <w:r>
              <w:t xml:space="preserve">older individuals with greatest economic need; and </w:t>
            </w:r>
          </w:p>
          <w:p w:rsidR="00642887" w:rsidRPr="00CA679A" w:rsidRDefault="00642887" w:rsidP="00CA679A">
            <w:pPr>
              <w:pStyle w:val="ListParagraph"/>
              <w:numPr>
                <w:ilvl w:val="1"/>
                <w:numId w:val="5"/>
              </w:numPr>
              <w:spacing w:after="0" w:line="240" w:lineRule="auto"/>
              <w:ind w:left="702"/>
            </w:pPr>
            <w:proofErr w:type="gramStart"/>
            <w:r>
              <w:t>older</w:t>
            </w:r>
            <w:proofErr w:type="gramEnd"/>
            <w:r>
              <w:t xml:space="preserve"> individuals at risk for institutional placement. (Source: OAA)</w:t>
            </w:r>
          </w:p>
        </w:tc>
        <w:tc>
          <w:tcPr>
            <w:tcW w:w="1458" w:type="dxa"/>
          </w:tcPr>
          <w:p w:rsidR="00642887" w:rsidRDefault="008903F5" w:rsidP="008903F5">
            <w:pPr>
              <w:spacing w:after="0" w:line="240" w:lineRule="auto"/>
            </w:pPr>
            <w:r>
              <w:t>c</w:t>
            </w:r>
            <w:r w:rsidR="00EB2B53">
              <w:t>ontact</w:t>
            </w:r>
          </w:p>
        </w:tc>
      </w:tr>
      <w:tr w:rsidR="00642887" w:rsidRPr="00F817A4" w:rsidTr="00CA679A">
        <w:trPr>
          <w:trHeight w:hRule="exact" w:val="2262"/>
        </w:trPr>
        <w:tc>
          <w:tcPr>
            <w:tcW w:w="2718" w:type="dxa"/>
            <w:shd w:val="clear" w:color="auto" w:fill="auto"/>
            <w:noWrap/>
          </w:tcPr>
          <w:p w:rsidR="00642887" w:rsidRDefault="00642887" w:rsidP="001305B9">
            <w:pPr>
              <w:rPr>
                <w:rFonts w:ascii="Calibri" w:hAnsi="Calibri"/>
                <w:color w:val="000000"/>
              </w:rPr>
            </w:pPr>
            <w:r>
              <w:rPr>
                <w:rFonts w:ascii="Calibri" w:hAnsi="Calibri"/>
                <w:color w:val="000000"/>
              </w:rPr>
              <w:t>Health Promotion: Evidence-Based</w:t>
            </w:r>
          </w:p>
        </w:tc>
        <w:tc>
          <w:tcPr>
            <w:tcW w:w="6120" w:type="dxa"/>
            <w:shd w:val="clear" w:color="auto" w:fill="auto"/>
            <w:noWrap/>
          </w:tcPr>
          <w:p w:rsidR="00642887" w:rsidRPr="008A71E1" w:rsidRDefault="00642887" w:rsidP="008162E4">
            <w:pPr>
              <w:spacing w:after="0" w:line="240" w:lineRule="auto"/>
              <w:rPr>
                <w:rFonts w:ascii="Calibri" w:eastAsia="Times New Roman" w:hAnsi="Calibri" w:cs="Times New Roman"/>
                <w:color w:val="000000"/>
                <w:sz w:val="20"/>
                <w:szCs w:val="20"/>
              </w:rPr>
            </w:pPr>
            <w:r>
              <w:t>Activities related to the prevention and mitigation of the effects of chronic disease (including osteoporosis, hypertension, obesity, diabetes, and cardiovascular disease), alcohol and substance abuse reduction, smoking cessation, weight loss and control, stress management, falls prevention, physical activity, and improved nutrition</w:t>
            </w:r>
            <w:r w:rsidR="008C169F">
              <w:t>)</w:t>
            </w:r>
            <w:r>
              <w:t xml:space="preserve">. Activities must </w:t>
            </w:r>
            <w:r w:rsidRPr="002A7CE5">
              <w:t>meet ACL</w:t>
            </w:r>
            <w:r>
              <w:t>/AoA</w:t>
            </w:r>
            <w:r w:rsidRPr="002A7CE5">
              <w:t xml:space="preserve">’s definition for an evidence-based program, as presented on </w:t>
            </w:r>
            <w:hyperlink r:id="rId9" w:tooltip="ACL main website" w:history="1">
              <w:r w:rsidR="004B7FB4">
                <w:rPr>
                  <w:rStyle w:val="Hyperlink"/>
                </w:rPr>
                <w:t>ACL's website</w:t>
              </w:r>
            </w:hyperlink>
            <w:r w:rsidRPr="002A7CE5">
              <w:t xml:space="preserve">.  </w:t>
            </w:r>
            <w:r>
              <w:t xml:space="preserve"> (Source: OAA)</w:t>
            </w:r>
          </w:p>
        </w:tc>
        <w:tc>
          <w:tcPr>
            <w:tcW w:w="1458" w:type="dxa"/>
          </w:tcPr>
          <w:p w:rsidR="00642887" w:rsidRDefault="00EB2B53" w:rsidP="008162E4">
            <w:pPr>
              <w:spacing w:after="0" w:line="240" w:lineRule="auto"/>
            </w:pPr>
            <w:r>
              <w:t>N/A</w:t>
            </w:r>
          </w:p>
        </w:tc>
      </w:tr>
      <w:tr w:rsidR="00642887" w:rsidRPr="00F817A4" w:rsidTr="00EA4D50">
        <w:trPr>
          <w:trHeight w:hRule="exact" w:val="6492"/>
        </w:trPr>
        <w:tc>
          <w:tcPr>
            <w:tcW w:w="2718" w:type="dxa"/>
            <w:shd w:val="clear" w:color="auto" w:fill="auto"/>
            <w:noWrap/>
          </w:tcPr>
          <w:p w:rsidR="00642887" w:rsidRDefault="00642887" w:rsidP="001305B9">
            <w:pPr>
              <w:rPr>
                <w:rFonts w:ascii="Calibri" w:hAnsi="Calibri"/>
                <w:color w:val="000000"/>
              </w:rPr>
            </w:pPr>
            <w:r>
              <w:rPr>
                <w:rFonts w:ascii="Calibri" w:hAnsi="Calibri"/>
                <w:color w:val="000000"/>
              </w:rPr>
              <w:t>Health Promotion: Non Evidence-Based</w:t>
            </w:r>
          </w:p>
        </w:tc>
        <w:tc>
          <w:tcPr>
            <w:tcW w:w="6120" w:type="dxa"/>
            <w:shd w:val="clear" w:color="auto" w:fill="auto"/>
            <w:noWrap/>
          </w:tcPr>
          <w:p w:rsidR="00642887" w:rsidRDefault="00642887" w:rsidP="001305B9">
            <w:pPr>
              <w:spacing w:after="0" w:line="240" w:lineRule="auto"/>
            </w:pPr>
            <w:r w:rsidRPr="002A7CE5">
              <w:t>Health promotion and disease prevention activities that do not meet ACL</w:t>
            </w:r>
            <w:r>
              <w:t>/AoA</w:t>
            </w:r>
            <w:r w:rsidRPr="002A7CE5">
              <w:t>’s definition for an evidence-based program</w:t>
            </w:r>
            <w:r>
              <w:t xml:space="preserve"> as defined at</w:t>
            </w:r>
            <w:r w:rsidR="00F9549F">
              <w:t xml:space="preserve"> </w:t>
            </w:r>
            <w:hyperlink r:id="rId10" w:history="1">
              <w:r w:rsidR="00F9549F">
                <w:rPr>
                  <w:rStyle w:val="Hyperlink"/>
                </w:rPr>
                <w:t>ACL's website</w:t>
              </w:r>
            </w:hyperlink>
            <w:r w:rsidR="00211918">
              <w:t>.</w:t>
            </w:r>
            <w:r w:rsidRPr="002A7CE5">
              <w:t xml:space="preserve"> </w:t>
            </w:r>
            <w:r>
              <w:t xml:space="preserve"> Activities m</w:t>
            </w:r>
            <w:r w:rsidRPr="002A7CE5">
              <w:t>ay include</w:t>
            </w:r>
            <w:r>
              <w:t xml:space="preserve"> those defined in the OAA (Section 102(14)) for example:</w:t>
            </w:r>
          </w:p>
          <w:p w:rsidR="00642887" w:rsidRPr="00FE2629" w:rsidRDefault="00642887" w:rsidP="001C133B">
            <w:pPr>
              <w:spacing w:after="0" w:line="240" w:lineRule="auto"/>
            </w:pPr>
            <w:r>
              <w:t>(A) health risk assessments; (B) routine health screening; (C) nutritional counseling and educational services for individuals and their primary caregivers; (E) programs regarding physical fitness, group exercise, and music therapy, art therapy, and dance-movement therapy; (F) home injury control services; (G) screening for the prevention of depression, coordination of community mental and behavioral health services, provision of educational activities, and referral to psychiatric and psychological services; (H) educational programs on the availability, benefits, and appropriate use of preventive health services covered under title XVIII of the Social Security Act (42 U.S.C. 1395 et seq.); (I) medication management screening and education; (J) information concerning diagnosis, prevention, treatment, and rehabilitation concerning age-related diseases and chronic disabling conditions; (K) gerontological counseling; and (L) counseling regarding social services and follow-up health services based on any of the services described in subparagraphs (A) through (K). The term shall not include services for which payment may be made under titles XVIII and XIX of the Social Security Act (42 U.S.C. 1395 et seq., 1396 et seq.).  (Source: OAA)</w:t>
            </w:r>
          </w:p>
        </w:tc>
        <w:tc>
          <w:tcPr>
            <w:tcW w:w="1458" w:type="dxa"/>
          </w:tcPr>
          <w:p w:rsidR="00642887" w:rsidRPr="002A7CE5" w:rsidRDefault="00EB2B53" w:rsidP="001305B9">
            <w:pPr>
              <w:spacing w:after="0" w:line="240" w:lineRule="auto"/>
            </w:pPr>
            <w:r>
              <w:t>N/A</w:t>
            </w:r>
          </w:p>
        </w:tc>
      </w:tr>
      <w:tr w:rsidR="00642887" w:rsidRPr="00F817A4" w:rsidTr="00211918">
        <w:trPr>
          <w:trHeight w:hRule="exact" w:val="2487"/>
        </w:trPr>
        <w:tc>
          <w:tcPr>
            <w:tcW w:w="2718" w:type="dxa"/>
            <w:shd w:val="clear" w:color="auto" w:fill="auto"/>
            <w:noWrap/>
          </w:tcPr>
          <w:p w:rsidR="00642887" w:rsidRPr="00F817A4" w:rsidRDefault="00642887" w:rsidP="001305B9">
            <w:pPr>
              <w:rPr>
                <w:rFonts w:ascii="Calibri" w:hAnsi="Calibri"/>
                <w:color w:val="000000"/>
                <w:sz w:val="20"/>
                <w:szCs w:val="20"/>
              </w:rPr>
            </w:pPr>
            <w:r>
              <w:rPr>
                <w:rFonts w:ascii="Calibri" w:hAnsi="Calibri"/>
                <w:color w:val="000000"/>
                <w:sz w:val="20"/>
                <w:szCs w:val="20"/>
              </w:rPr>
              <w:t>Counseling</w:t>
            </w:r>
          </w:p>
        </w:tc>
        <w:tc>
          <w:tcPr>
            <w:tcW w:w="6120" w:type="dxa"/>
            <w:shd w:val="clear" w:color="auto" w:fill="auto"/>
            <w:noWrap/>
          </w:tcPr>
          <w:p w:rsidR="00642887" w:rsidRPr="008A71E1" w:rsidRDefault="00642887" w:rsidP="008162E4">
            <w:pPr>
              <w:spacing w:after="0" w:line="240" w:lineRule="auto"/>
              <w:rPr>
                <w:rFonts w:ascii="Calibri" w:eastAsia="Times New Roman" w:hAnsi="Calibri" w:cs="Times New Roman"/>
                <w:color w:val="000000"/>
                <w:sz w:val="20"/>
                <w:szCs w:val="20"/>
              </w:rPr>
            </w:pPr>
            <w:r>
              <w:t>A service</w:t>
            </w:r>
            <w:r w:rsidRPr="002A7CE5">
              <w:t xml:space="preserve"> designed to support caregivers and assist them in their decision making and problem solving. Counselors are degreed service providers, trained to work with older adults and families </w:t>
            </w:r>
            <w:r>
              <w:t>and</w:t>
            </w:r>
            <w:r w:rsidRPr="002A7CE5">
              <w:t xml:space="preserve"> specifically understanding and addressing the complex physical, behavioral and emotional problems related to their caregiver roles. This includes counseling to individuals or group sessions. Counseling is a separate function apart from support group activities or training (see definitions</w:t>
            </w:r>
            <w:r>
              <w:t xml:space="preserve"> for these services</w:t>
            </w:r>
            <w:r w:rsidRPr="002A7CE5">
              <w:t>)</w:t>
            </w:r>
            <w:r>
              <w:t>. (Source: ACT committee)</w:t>
            </w:r>
          </w:p>
        </w:tc>
        <w:tc>
          <w:tcPr>
            <w:tcW w:w="1458" w:type="dxa"/>
          </w:tcPr>
          <w:p w:rsidR="008903F5" w:rsidRDefault="008903F5" w:rsidP="008903F5">
            <w:pPr>
              <w:spacing w:after="0" w:line="240" w:lineRule="auto"/>
            </w:pPr>
            <w:r>
              <w:t>person hours</w:t>
            </w:r>
          </w:p>
          <w:p w:rsidR="00642887" w:rsidRDefault="008903F5" w:rsidP="008903F5">
            <w:pPr>
              <w:spacing w:after="0" w:line="240" w:lineRule="auto"/>
            </w:pPr>
            <w:r>
              <w:t>(e.g. 2 persons participate in 1 hour of counseling equals 2 person hours)</w:t>
            </w:r>
          </w:p>
        </w:tc>
      </w:tr>
      <w:tr w:rsidR="00642887" w:rsidRPr="00F817A4" w:rsidTr="00211918">
        <w:trPr>
          <w:trHeight w:hRule="exact" w:val="2532"/>
        </w:trPr>
        <w:tc>
          <w:tcPr>
            <w:tcW w:w="2718" w:type="dxa"/>
            <w:shd w:val="clear" w:color="auto" w:fill="auto"/>
            <w:noWrap/>
          </w:tcPr>
          <w:p w:rsidR="00642887" w:rsidRPr="00F817A4" w:rsidRDefault="00642887" w:rsidP="001305B9">
            <w:pPr>
              <w:rPr>
                <w:rFonts w:ascii="Calibri" w:hAnsi="Calibri"/>
                <w:color w:val="000000"/>
                <w:sz w:val="20"/>
                <w:szCs w:val="20"/>
              </w:rPr>
            </w:pPr>
            <w:r>
              <w:rPr>
                <w:rFonts w:ascii="Calibri" w:hAnsi="Calibri"/>
                <w:color w:val="000000"/>
                <w:sz w:val="20"/>
                <w:szCs w:val="20"/>
              </w:rPr>
              <w:t>Training</w:t>
            </w:r>
          </w:p>
        </w:tc>
        <w:tc>
          <w:tcPr>
            <w:tcW w:w="6120" w:type="dxa"/>
            <w:shd w:val="clear" w:color="auto" w:fill="auto"/>
            <w:noWrap/>
          </w:tcPr>
          <w:p w:rsidR="00642887" w:rsidRPr="008A71E1" w:rsidRDefault="00642887" w:rsidP="001305B9">
            <w:pPr>
              <w:spacing w:after="0" w:line="240" w:lineRule="auto"/>
              <w:rPr>
                <w:rFonts w:ascii="Calibri" w:eastAsia="Times New Roman" w:hAnsi="Calibri" w:cs="Times New Roman"/>
                <w:color w:val="000000"/>
                <w:sz w:val="20"/>
                <w:szCs w:val="20"/>
              </w:rPr>
            </w:pPr>
            <w:r>
              <w:t>A service that</w:t>
            </w:r>
            <w:r w:rsidRPr="002A7CE5">
              <w:t xml:space="preserve"> provides family caregivers with instruction to improve knowledge and performance of specific skills relating to their caregiving roles and responsibilities.  Skills may include activities related to health, nutrition, and financial management; providing personal care; and communicating with health care providers and other family members.  Training may include use of evidence-based programs; be conducted in-person or on-line; and be provided in individual or group settings.</w:t>
            </w:r>
            <w:r>
              <w:t xml:space="preserve"> (Source: ACT committee)</w:t>
            </w:r>
          </w:p>
        </w:tc>
        <w:tc>
          <w:tcPr>
            <w:tcW w:w="1458" w:type="dxa"/>
          </w:tcPr>
          <w:p w:rsidR="008903F5" w:rsidRDefault="008903F5" w:rsidP="008903F5">
            <w:pPr>
              <w:spacing w:after="0" w:line="240" w:lineRule="auto"/>
            </w:pPr>
            <w:r>
              <w:t>person hours</w:t>
            </w:r>
          </w:p>
          <w:p w:rsidR="00642887" w:rsidRDefault="008903F5" w:rsidP="008903F5">
            <w:pPr>
              <w:spacing w:after="0" w:line="240" w:lineRule="auto"/>
            </w:pPr>
            <w:r>
              <w:t>(e.g. 2 persons participate in 1 hour of training equals 2 person hours)</w:t>
            </w:r>
          </w:p>
        </w:tc>
      </w:tr>
      <w:tr w:rsidR="00642887" w:rsidRPr="00F817A4" w:rsidTr="00642887">
        <w:trPr>
          <w:trHeight w:hRule="exact" w:val="804"/>
        </w:trPr>
        <w:tc>
          <w:tcPr>
            <w:tcW w:w="2718" w:type="dxa"/>
            <w:shd w:val="clear" w:color="auto" w:fill="auto"/>
            <w:noWrap/>
          </w:tcPr>
          <w:p w:rsidR="00642887" w:rsidRPr="00F817A4" w:rsidRDefault="00642887" w:rsidP="001305B9">
            <w:pPr>
              <w:rPr>
                <w:rFonts w:ascii="Calibri" w:hAnsi="Calibri"/>
                <w:color w:val="000000"/>
                <w:sz w:val="20"/>
                <w:szCs w:val="20"/>
              </w:rPr>
            </w:pPr>
            <w:r>
              <w:rPr>
                <w:rFonts w:ascii="Calibri" w:hAnsi="Calibri"/>
                <w:color w:val="000000"/>
                <w:sz w:val="20"/>
                <w:szCs w:val="20"/>
              </w:rPr>
              <w:t>Respite</w:t>
            </w:r>
          </w:p>
        </w:tc>
        <w:tc>
          <w:tcPr>
            <w:tcW w:w="6120" w:type="dxa"/>
            <w:shd w:val="clear" w:color="auto" w:fill="auto"/>
            <w:noWrap/>
          </w:tcPr>
          <w:p w:rsidR="00642887" w:rsidRPr="008A71E1" w:rsidRDefault="00642887" w:rsidP="001305B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Service which offer temporary, substitute supports or living arrangements for care recipients in order to provide a brief period of relief or rest for caregivers. (Source: Current SPR)</w:t>
            </w:r>
          </w:p>
        </w:tc>
        <w:tc>
          <w:tcPr>
            <w:tcW w:w="1458" w:type="dxa"/>
          </w:tcPr>
          <w:p w:rsidR="00642887" w:rsidRDefault="001E2345" w:rsidP="001305B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hour</w:t>
            </w:r>
            <w:r w:rsidR="008903F5">
              <w:rPr>
                <w:rFonts w:ascii="Calibri" w:eastAsia="Times New Roman" w:hAnsi="Calibri" w:cs="Times New Roman"/>
                <w:color w:val="000000"/>
                <w:sz w:val="20"/>
                <w:szCs w:val="20"/>
              </w:rPr>
              <w:t>s</w:t>
            </w:r>
          </w:p>
        </w:tc>
      </w:tr>
      <w:tr w:rsidR="00642887" w:rsidRPr="00F817A4" w:rsidTr="00211918">
        <w:trPr>
          <w:trHeight w:hRule="exact" w:val="1713"/>
        </w:trPr>
        <w:tc>
          <w:tcPr>
            <w:tcW w:w="2718" w:type="dxa"/>
            <w:shd w:val="clear" w:color="auto" w:fill="auto"/>
            <w:noWrap/>
          </w:tcPr>
          <w:p w:rsidR="00642887" w:rsidRPr="00F817A4" w:rsidRDefault="00642887" w:rsidP="001305B9">
            <w:pPr>
              <w:rPr>
                <w:rFonts w:ascii="Calibri" w:hAnsi="Calibri"/>
                <w:color w:val="000000"/>
                <w:sz w:val="20"/>
                <w:szCs w:val="20"/>
              </w:rPr>
            </w:pPr>
            <w:r>
              <w:rPr>
                <w:rFonts w:ascii="Calibri" w:hAnsi="Calibri"/>
                <w:color w:val="000000"/>
                <w:sz w:val="20"/>
                <w:szCs w:val="20"/>
              </w:rPr>
              <w:t>Respite (in-home)</w:t>
            </w:r>
          </w:p>
        </w:tc>
        <w:tc>
          <w:tcPr>
            <w:tcW w:w="6120" w:type="dxa"/>
            <w:shd w:val="clear" w:color="auto" w:fill="auto"/>
            <w:noWrap/>
          </w:tcPr>
          <w:p w:rsidR="00642887" w:rsidRPr="008A71E1" w:rsidRDefault="00642887" w:rsidP="008162E4">
            <w:pPr>
              <w:spacing w:after="0" w:line="240" w:lineRule="auto"/>
              <w:rPr>
                <w:rFonts w:ascii="Calibri" w:eastAsia="Times New Roman" w:hAnsi="Calibri" w:cs="Times New Roman"/>
                <w:color w:val="000000"/>
                <w:sz w:val="20"/>
                <w:szCs w:val="20"/>
              </w:rPr>
            </w:pPr>
            <w:r>
              <w:t xml:space="preserve">A respite service </w:t>
            </w:r>
            <w:r w:rsidRPr="002A7CE5">
              <w:t>provided in the home of the caregiver or care receiver and allows the caregiver time away to do other activities.  During such respite, other activities can occur which may offer additional support to either the caregiver or care receiver, including homemaker or personal care services.</w:t>
            </w:r>
            <w:r>
              <w:t xml:space="preserve"> (Source: ACT committee)</w:t>
            </w:r>
          </w:p>
        </w:tc>
        <w:tc>
          <w:tcPr>
            <w:tcW w:w="1458" w:type="dxa"/>
          </w:tcPr>
          <w:p w:rsidR="00642887" w:rsidRDefault="001E2345" w:rsidP="008162E4">
            <w:pPr>
              <w:spacing w:after="0" w:line="240" w:lineRule="auto"/>
            </w:pPr>
            <w:r>
              <w:t>hour</w:t>
            </w:r>
            <w:r w:rsidR="008903F5">
              <w:t>s</w:t>
            </w:r>
          </w:p>
        </w:tc>
      </w:tr>
      <w:tr w:rsidR="00642887" w:rsidRPr="00F817A4" w:rsidTr="00211918">
        <w:trPr>
          <w:trHeight w:hRule="exact" w:val="1713"/>
        </w:trPr>
        <w:tc>
          <w:tcPr>
            <w:tcW w:w="2718" w:type="dxa"/>
            <w:shd w:val="clear" w:color="auto" w:fill="auto"/>
            <w:noWrap/>
          </w:tcPr>
          <w:p w:rsidR="00642887" w:rsidRPr="00F817A4" w:rsidRDefault="00642887" w:rsidP="001305B9">
            <w:pPr>
              <w:rPr>
                <w:rFonts w:ascii="Calibri" w:hAnsi="Calibri"/>
                <w:color w:val="000000"/>
                <w:sz w:val="20"/>
                <w:szCs w:val="20"/>
              </w:rPr>
            </w:pPr>
            <w:r>
              <w:rPr>
                <w:rFonts w:ascii="Calibri" w:hAnsi="Calibri"/>
                <w:color w:val="000000"/>
                <w:sz w:val="20"/>
                <w:szCs w:val="20"/>
              </w:rPr>
              <w:t>Respite (out-of-home, day)</w:t>
            </w:r>
          </w:p>
        </w:tc>
        <w:tc>
          <w:tcPr>
            <w:tcW w:w="6120" w:type="dxa"/>
            <w:shd w:val="clear" w:color="auto" w:fill="auto"/>
            <w:noWrap/>
          </w:tcPr>
          <w:p w:rsidR="00642887" w:rsidRPr="008A71E1" w:rsidRDefault="00642887" w:rsidP="00211918">
            <w:pPr>
              <w:spacing w:after="0" w:line="240" w:lineRule="auto"/>
              <w:rPr>
                <w:rFonts w:ascii="Calibri" w:eastAsia="Times New Roman" w:hAnsi="Calibri" w:cs="Times New Roman"/>
                <w:color w:val="000000"/>
                <w:sz w:val="20"/>
                <w:szCs w:val="20"/>
              </w:rPr>
            </w:pPr>
            <w:r>
              <w:t xml:space="preserve">A respite service </w:t>
            </w:r>
            <w:r w:rsidRPr="002A7CE5">
              <w:t xml:space="preserve">provided in settings other than the caregiver/care receiver’s home, including adult day care, senior center or other non-residential setting </w:t>
            </w:r>
            <w:r w:rsidR="00211918">
              <w:t>(</w:t>
            </w:r>
            <w:r w:rsidR="00211918" w:rsidRPr="002A7CE5">
              <w:t xml:space="preserve">in the case of </w:t>
            </w:r>
            <w:r w:rsidR="00211918">
              <w:t xml:space="preserve">older relatives raising </w:t>
            </w:r>
            <w:r w:rsidR="00211918" w:rsidRPr="002A7CE5">
              <w:t xml:space="preserve">children, </w:t>
            </w:r>
            <w:r w:rsidR="00211918">
              <w:t>day</w:t>
            </w:r>
            <w:r w:rsidR="00211918" w:rsidRPr="002A7CE5">
              <w:t xml:space="preserve"> camps),</w:t>
            </w:r>
            <w:r w:rsidR="00211918">
              <w:t xml:space="preserve"> </w:t>
            </w:r>
            <w:r w:rsidRPr="002A7CE5">
              <w:t>where an overnight stay does not occur</w:t>
            </w:r>
            <w:r>
              <w:t xml:space="preserve"> that allows the caregiver time away to do other activities</w:t>
            </w:r>
            <w:r w:rsidRPr="002A7CE5">
              <w:t>.</w:t>
            </w:r>
            <w:r>
              <w:t xml:space="preserve"> (Source: ACT committee)</w:t>
            </w:r>
          </w:p>
        </w:tc>
        <w:tc>
          <w:tcPr>
            <w:tcW w:w="1458" w:type="dxa"/>
          </w:tcPr>
          <w:p w:rsidR="00642887" w:rsidRDefault="001E2345" w:rsidP="008903F5">
            <w:pPr>
              <w:spacing w:after="0" w:line="240" w:lineRule="auto"/>
            </w:pPr>
            <w:r>
              <w:t>hou</w:t>
            </w:r>
            <w:r w:rsidR="008903F5">
              <w:t>rs</w:t>
            </w:r>
          </w:p>
        </w:tc>
      </w:tr>
      <w:tr w:rsidR="00642887" w:rsidRPr="00F817A4" w:rsidTr="00642887">
        <w:trPr>
          <w:trHeight w:hRule="exact" w:val="1731"/>
        </w:trPr>
        <w:tc>
          <w:tcPr>
            <w:tcW w:w="2718" w:type="dxa"/>
            <w:shd w:val="clear" w:color="auto" w:fill="auto"/>
            <w:noWrap/>
          </w:tcPr>
          <w:p w:rsidR="00642887" w:rsidRPr="00F817A4" w:rsidRDefault="00642887" w:rsidP="001305B9">
            <w:pPr>
              <w:rPr>
                <w:rFonts w:ascii="Calibri" w:hAnsi="Calibri"/>
                <w:color w:val="000000"/>
                <w:sz w:val="20"/>
                <w:szCs w:val="20"/>
              </w:rPr>
            </w:pPr>
            <w:r>
              <w:rPr>
                <w:rFonts w:ascii="Calibri" w:hAnsi="Calibri"/>
                <w:color w:val="000000"/>
                <w:sz w:val="20"/>
                <w:szCs w:val="20"/>
              </w:rPr>
              <w:t>Respite (out-of home, overnight)</w:t>
            </w:r>
          </w:p>
        </w:tc>
        <w:tc>
          <w:tcPr>
            <w:tcW w:w="6120" w:type="dxa"/>
            <w:shd w:val="clear" w:color="auto" w:fill="auto"/>
            <w:noWrap/>
          </w:tcPr>
          <w:p w:rsidR="00642887" w:rsidRPr="008A71E1" w:rsidRDefault="00642887" w:rsidP="008162E4">
            <w:pPr>
              <w:spacing w:after="0" w:line="240" w:lineRule="auto"/>
              <w:rPr>
                <w:rFonts w:ascii="Calibri" w:eastAsia="Times New Roman" w:hAnsi="Calibri" w:cs="Times New Roman"/>
                <w:color w:val="000000"/>
                <w:sz w:val="20"/>
                <w:szCs w:val="20"/>
              </w:rPr>
            </w:pPr>
            <w:r>
              <w:t xml:space="preserve">A respite service </w:t>
            </w:r>
            <w:r w:rsidRPr="002A7CE5">
              <w:t xml:space="preserve">provided in residential settings such as nursing homes, assisted living facilities, and adult foster homes (or, in the case of </w:t>
            </w:r>
            <w:r>
              <w:t xml:space="preserve">older relatives raising </w:t>
            </w:r>
            <w:r w:rsidRPr="002A7CE5">
              <w:t>children, summer camps), in which the care receiver resides in the facility (on a temporary basis) for a full 24 hour period of time.</w:t>
            </w:r>
            <w:r>
              <w:t xml:space="preserve">  The service provides the caregiver with time away to do other activities. (Source: ACT committee)</w:t>
            </w:r>
          </w:p>
        </w:tc>
        <w:tc>
          <w:tcPr>
            <w:tcW w:w="1458" w:type="dxa"/>
          </w:tcPr>
          <w:p w:rsidR="00642887" w:rsidRDefault="001E2345" w:rsidP="008162E4">
            <w:pPr>
              <w:spacing w:after="0" w:line="240" w:lineRule="auto"/>
            </w:pPr>
            <w:r>
              <w:t>hour</w:t>
            </w:r>
            <w:r w:rsidR="008903F5">
              <w:t>s</w:t>
            </w:r>
          </w:p>
        </w:tc>
      </w:tr>
      <w:tr w:rsidR="00642887" w:rsidRPr="00F817A4" w:rsidTr="00642887">
        <w:trPr>
          <w:trHeight w:hRule="exact" w:val="633"/>
        </w:trPr>
        <w:tc>
          <w:tcPr>
            <w:tcW w:w="2718" w:type="dxa"/>
            <w:shd w:val="clear" w:color="auto" w:fill="auto"/>
            <w:noWrap/>
          </w:tcPr>
          <w:p w:rsidR="00642887" w:rsidRPr="00F817A4" w:rsidRDefault="00642887" w:rsidP="001305B9">
            <w:pPr>
              <w:rPr>
                <w:rFonts w:ascii="Calibri" w:hAnsi="Calibri"/>
                <w:color w:val="000000"/>
                <w:sz w:val="20"/>
                <w:szCs w:val="20"/>
              </w:rPr>
            </w:pPr>
            <w:r>
              <w:rPr>
                <w:rFonts w:ascii="Calibri" w:hAnsi="Calibri"/>
                <w:color w:val="000000"/>
                <w:sz w:val="20"/>
                <w:szCs w:val="20"/>
              </w:rPr>
              <w:t>Supplemental</w:t>
            </w:r>
          </w:p>
        </w:tc>
        <w:tc>
          <w:tcPr>
            <w:tcW w:w="6120" w:type="dxa"/>
            <w:shd w:val="clear" w:color="auto" w:fill="auto"/>
            <w:noWrap/>
          </w:tcPr>
          <w:p w:rsidR="00642887" w:rsidRPr="008A71E1" w:rsidRDefault="00642887" w:rsidP="001305B9">
            <w:pPr>
              <w:spacing w:after="0" w:line="240" w:lineRule="auto"/>
              <w:rPr>
                <w:rFonts w:ascii="Calibri" w:eastAsia="Times New Roman" w:hAnsi="Calibri" w:cs="Times New Roman"/>
                <w:color w:val="000000"/>
                <w:sz w:val="20"/>
                <w:szCs w:val="20"/>
              </w:rPr>
            </w:pPr>
            <w:r>
              <w:t>Goods and s</w:t>
            </w:r>
            <w:r w:rsidRPr="008902E5">
              <w:t xml:space="preserve">ervices provided on a limited basis to complement the care provided by caregivers. </w:t>
            </w:r>
            <w:r>
              <w:t xml:space="preserve"> (Source: OAA)</w:t>
            </w:r>
            <w:r w:rsidRPr="008902E5">
              <w:br/>
            </w:r>
          </w:p>
        </w:tc>
        <w:tc>
          <w:tcPr>
            <w:tcW w:w="1458" w:type="dxa"/>
          </w:tcPr>
          <w:p w:rsidR="00642887" w:rsidRDefault="001E2345" w:rsidP="001305B9">
            <w:pPr>
              <w:spacing w:after="0" w:line="240" w:lineRule="auto"/>
            </w:pPr>
            <w:r>
              <w:t>N/A</w:t>
            </w:r>
          </w:p>
        </w:tc>
      </w:tr>
      <w:tr w:rsidR="00642887" w:rsidRPr="00F817A4" w:rsidTr="00B72521">
        <w:trPr>
          <w:trHeight w:hRule="exact" w:val="7752"/>
        </w:trPr>
        <w:tc>
          <w:tcPr>
            <w:tcW w:w="2718" w:type="dxa"/>
            <w:shd w:val="clear" w:color="auto" w:fill="auto"/>
            <w:noWrap/>
          </w:tcPr>
          <w:p w:rsidR="00642887" w:rsidRPr="00F817A4" w:rsidRDefault="00642887" w:rsidP="001305B9">
            <w:pPr>
              <w:rPr>
                <w:rFonts w:ascii="Calibri" w:hAnsi="Calibri"/>
                <w:color w:val="000000"/>
                <w:sz w:val="20"/>
                <w:szCs w:val="20"/>
              </w:rPr>
            </w:pPr>
            <w:r>
              <w:rPr>
                <w:rFonts w:ascii="Calibri" w:hAnsi="Calibri"/>
                <w:color w:val="000000"/>
                <w:sz w:val="20"/>
                <w:szCs w:val="20"/>
              </w:rPr>
              <w:t>Assistance – Case Management</w:t>
            </w:r>
          </w:p>
        </w:tc>
        <w:tc>
          <w:tcPr>
            <w:tcW w:w="6120" w:type="dxa"/>
            <w:shd w:val="clear" w:color="auto" w:fill="auto"/>
            <w:noWrap/>
          </w:tcPr>
          <w:p w:rsidR="00B72521" w:rsidRDefault="00B72521" w:rsidP="00B72521">
            <w:pPr>
              <w:spacing w:after="0" w:line="240" w:lineRule="auto"/>
            </w:pPr>
            <w:r>
              <w:t>M</w:t>
            </w:r>
            <w:r w:rsidR="00642887">
              <w:t>eans a service provided to a caregiver, at the direction of the caregiver:</w:t>
            </w:r>
          </w:p>
          <w:p w:rsidR="00B72521" w:rsidRDefault="00642887" w:rsidP="00B72521">
            <w:pPr>
              <w:pStyle w:val="ListParagraph"/>
              <w:numPr>
                <w:ilvl w:val="0"/>
                <w:numId w:val="6"/>
              </w:numPr>
              <w:spacing w:after="0" w:line="240" w:lineRule="auto"/>
              <w:ind w:left="342" w:hanging="180"/>
            </w:pPr>
            <w:r>
              <w:t>by an individual who is trained or experienced in the case management skills that are required to deliver the services and coordinati</w:t>
            </w:r>
            <w:r w:rsidR="00B72521">
              <w:t>on described in subparagraph</w:t>
            </w:r>
            <w:r>
              <w:t xml:space="preserve">; and </w:t>
            </w:r>
          </w:p>
          <w:p w:rsidR="00642887" w:rsidRDefault="00642887" w:rsidP="00B72521">
            <w:pPr>
              <w:pStyle w:val="ListParagraph"/>
              <w:numPr>
                <w:ilvl w:val="0"/>
                <w:numId w:val="6"/>
              </w:numPr>
              <w:spacing w:after="0" w:line="240" w:lineRule="auto"/>
              <w:ind w:left="342" w:hanging="180"/>
            </w:pPr>
            <w:r>
              <w:t xml:space="preserve">to assess the needs, and to arrange, coordinate, and monitor an optimum package of services to meet the needs, of the caregiver; and </w:t>
            </w:r>
          </w:p>
          <w:p w:rsidR="00B72521" w:rsidRDefault="00B72521" w:rsidP="00B72521">
            <w:pPr>
              <w:spacing w:after="0" w:line="240" w:lineRule="auto"/>
            </w:pPr>
            <w:r>
              <w:t>I</w:t>
            </w:r>
            <w:r w:rsidR="00642887">
              <w:t xml:space="preserve">ncludes services and coordination such as— </w:t>
            </w:r>
          </w:p>
          <w:p w:rsidR="00B72521" w:rsidRDefault="00642887" w:rsidP="00B72521">
            <w:pPr>
              <w:pStyle w:val="ListParagraph"/>
              <w:numPr>
                <w:ilvl w:val="0"/>
                <w:numId w:val="7"/>
              </w:numPr>
              <w:spacing w:after="0" w:line="240" w:lineRule="auto"/>
              <w:ind w:left="342" w:hanging="180"/>
            </w:pPr>
            <w:r>
              <w:t>comprehensive assessment of the caregiver (including the physical, psychological, and s</w:t>
            </w:r>
            <w:r w:rsidR="00B72521">
              <w:t>ocial needs of the individual);</w:t>
            </w:r>
          </w:p>
          <w:p w:rsidR="00B72521" w:rsidRDefault="00642887" w:rsidP="00B72521">
            <w:pPr>
              <w:pStyle w:val="ListParagraph"/>
              <w:numPr>
                <w:ilvl w:val="0"/>
                <w:numId w:val="7"/>
              </w:numPr>
              <w:spacing w:after="0" w:line="240" w:lineRule="auto"/>
              <w:ind w:left="342" w:hanging="180"/>
            </w:pPr>
            <w:r>
              <w:t xml:space="preserve">development and implementation of a service plan with the caregiver to mobilize the formal and informal resources and services identified in the assessment to meet the needs of the caregiver, including coordination of the resources and services— </w:t>
            </w:r>
          </w:p>
          <w:p w:rsidR="00B72521" w:rsidRDefault="00642887" w:rsidP="00B72521">
            <w:pPr>
              <w:pStyle w:val="ListParagraph"/>
              <w:numPr>
                <w:ilvl w:val="1"/>
                <w:numId w:val="7"/>
              </w:numPr>
              <w:spacing w:after="0" w:line="240" w:lineRule="auto"/>
              <w:ind w:left="522" w:hanging="180"/>
            </w:pPr>
            <w:r>
              <w:t xml:space="preserve">with any other plans that exist for various formal services; and </w:t>
            </w:r>
          </w:p>
          <w:p w:rsidR="00B72521" w:rsidRDefault="00642887" w:rsidP="00B72521">
            <w:pPr>
              <w:pStyle w:val="ListParagraph"/>
              <w:numPr>
                <w:ilvl w:val="1"/>
                <w:numId w:val="7"/>
              </w:numPr>
              <w:spacing w:after="0" w:line="240" w:lineRule="auto"/>
              <w:ind w:left="522" w:hanging="180"/>
            </w:pPr>
            <w:r>
              <w:t xml:space="preserve">with the information and assistance services provided under </w:t>
            </w:r>
            <w:r w:rsidR="00B72521">
              <w:t>the Older Americans</w:t>
            </w:r>
            <w:r>
              <w:t xml:space="preserve"> Act; </w:t>
            </w:r>
          </w:p>
          <w:p w:rsidR="00B72521" w:rsidRDefault="00642887" w:rsidP="00B72521">
            <w:pPr>
              <w:pStyle w:val="ListParagraph"/>
              <w:numPr>
                <w:ilvl w:val="1"/>
                <w:numId w:val="7"/>
              </w:numPr>
              <w:spacing w:after="0" w:line="240" w:lineRule="auto"/>
              <w:ind w:left="522" w:hanging="180"/>
            </w:pPr>
            <w:r>
              <w:t xml:space="preserve">coordination and monitoring of formal and informal service delivery, including coordination and monitoring to ensure that services specified </w:t>
            </w:r>
            <w:r w:rsidR="00B72521">
              <w:t>in the plan are being provided;</w:t>
            </w:r>
          </w:p>
          <w:p w:rsidR="00B72521" w:rsidRDefault="00642887" w:rsidP="00B72521">
            <w:pPr>
              <w:pStyle w:val="ListParagraph"/>
              <w:numPr>
                <w:ilvl w:val="1"/>
                <w:numId w:val="7"/>
              </w:numPr>
              <w:spacing w:after="0" w:line="240" w:lineRule="auto"/>
              <w:ind w:left="522" w:hanging="180"/>
            </w:pPr>
            <w:r>
              <w:t xml:space="preserve">periodic reassessment and revision of the status of the caregiver; and </w:t>
            </w:r>
          </w:p>
          <w:p w:rsidR="00642887" w:rsidRDefault="00642887" w:rsidP="00B72521">
            <w:pPr>
              <w:pStyle w:val="ListParagraph"/>
              <w:numPr>
                <w:ilvl w:val="1"/>
                <w:numId w:val="7"/>
              </w:numPr>
              <w:spacing w:after="0" w:line="240" w:lineRule="auto"/>
              <w:ind w:left="522" w:hanging="180"/>
            </w:pPr>
            <w:proofErr w:type="gramStart"/>
            <w:r>
              <w:t>in</w:t>
            </w:r>
            <w:proofErr w:type="gramEnd"/>
            <w:r>
              <w:t xml:space="preserve"> accordance with the wishes of the caregiver, advocacy on behalf of the caregiver for needed services or resources.</w:t>
            </w:r>
          </w:p>
          <w:p w:rsidR="00642887" w:rsidRPr="007D7356" w:rsidRDefault="00642887" w:rsidP="00FE2629">
            <w:pPr>
              <w:spacing w:after="0" w:line="240" w:lineRule="auto"/>
            </w:pPr>
            <w:r>
              <w:t>(Source: OAA)</w:t>
            </w:r>
          </w:p>
        </w:tc>
        <w:tc>
          <w:tcPr>
            <w:tcW w:w="1458" w:type="dxa"/>
          </w:tcPr>
          <w:p w:rsidR="00642887" w:rsidRDefault="001E2345" w:rsidP="007D7356">
            <w:pPr>
              <w:spacing w:after="0" w:line="240" w:lineRule="auto"/>
            </w:pPr>
            <w:r>
              <w:t>hour</w:t>
            </w:r>
            <w:r w:rsidR="008903F5">
              <w:t>s</w:t>
            </w:r>
          </w:p>
        </w:tc>
      </w:tr>
      <w:tr w:rsidR="00642887" w:rsidRPr="00F817A4" w:rsidTr="00B72521">
        <w:trPr>
          <w:trHeight w:hRule="exact" w:val="2523"/>
        </w:trPr>
        <w:tc>
          <w:tcPr>
            <w:tcW w:w="2718" w:type="dxa"/>
            <w:shd w:val="clear" w:color="auto" w:fill="auto"/>
            <w:noWrap/>
          </w:tcPr>
          <w:p w:rsidR="00642887" w:rsidRPr="00F817A4" w:rsidRDefault="00642887" w:rsidP="001305B9">
            <w:pPr>
              <w:rPr>
                <w:rFonts w:ascii="Calibri" w:hAnsi="Calibri"/>
                <w:color w:val="000000"/>
                <w:sz w:val="20"/>
                <w:szCs w:val="20"/>
              </w:rPr>
            </w:pPr>
            <w:r>
              <w:rPr>
                <w:rFonts w:ascii="Calibri" w:hAnsi="Calibri"/>
                <w:color w:val="000000"/>
                <w:sz w:val="20"/>
                <w:szCs w:val="20"/>
              </w:rPr>
              <w:t>Support Group</w:t>
            </w:r>
          </w:p>
        </w:tc>
        <w:tc>
          <w:tcPr>
            <w:tcW w:w="6120" w:type="dxa"/>
            <w:shd w:val="clear" w:color="auto" w:fill="auto"/>
            <w:noWrap/>
          </w:tcPr>
          <w:p w:rsidR="00642887" w:rsidRPr="008A71E1" w:rsidRDefault="00642887" w:rsidP="0060651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 service that is l</w:t>
            </w:r>
            <w:r w:rsidRPr="0060651C">
              <w:rPr>
                <w:rFonts w:ascii="Calibri" w:eastAsia="Times New Roman" w:hAnsi="Calibri" w:cs="Times New Roman"/>
                <w:color w:val="000000"/>
                <w:sz w:val="20"/>
                <w:szCs w:val="20"/>
              </w:rPr>
              <w:t>ed by a trained individual, moderator, or professional to facilitate caregivers to discuss their common experiences and concerns and develop a mutual support system. Support groups are typically held on a regularly scheduled basis and may be conducted in person, over the telephone, or online.  For the purposes of Title III-E funding, caregiver support groups would not include “caregiver education groups,” “peer-to-peer support groups,” or other groups primarily aimed at teaching skills or meeting on an informal basis without a trained facilitator. (See definitions for training and education).</w:t>
            </w:r>
            <w:r>
              <w:rPr>
                <w:rFonts w:ascii="Calibri" w:eastAsia="Times New Roman" w:hAnsi="Calibri" w:cs="Times New Roman"/>
                <w:color w:val="000000"/>
                <w:sz w:val="20"/>
                <w:szCs w:val="20"/>
              </w:rPr>
              <w:t xml:space="preserve">  (Source: ACT committee)</w:t>
            </w:r>
          </w:p>
        </w:tc>
        <w:tc>
          <w:tcPr>
            <w:tcW w:w="1458" w:type="dxa"/>
          </w:tcPr>
          <w:p w:rsidR="008903F5" w:rsidRDefault="008903F5" w:rsidP="008903F5">
            <w:pPr>
              <w:spacing w:after="0" w:line="240" w:lineRule="auto"/>
            </w:pPr>
            <w:r>
              <w:t>person hours</w:t>
            </w:r>
          </w:p>
          <w:p w:rsidR="00642887" w:rsidRDefault="008903F5" w:rsidP="008903F5">
            <w:pPr>
              <w:spacing w:after="0" w:line="240" w:lineRule="auto"/>
              <w:rPr>
                <w:rFonts w:ascii="Calibri" w:eastAsia="Times New Roman" w:hAnsi="Calibri" w:cs="Times New Roman"/>
                <w:color w:val="000000"/>
                <w:sz w:val="20"/>
                <w:szCs w:val="20"/>
              </w:rPr>
            </w:pPr>
            <w:r>
              <w:t>(e.g. 2 persons participate in 1 hour meeting equals 2 person hours)</w:t>
            </w:r>
          </w:p>
        </w:tc>
      </w:tr>
      <w:tr w:rsidR="00642887" w:rsidRPr="00F817A4" w:rsidTr="00B72521">
        <w:trPr>
          <w:trHeight w:hRule="exact" w:val="8292"/>
        </w:trPr>
        <w:tc>
          <w:tcPr>
            <w:tcW w:w="2718" w:type="dxa"/>
            <w:shd w:val="clear" w:color="auto" w:fill="auto"/>
            <w:noWrap/>
          </w:tcPr>
          <w:p w:rsidR="00642887" w:rsidRPr="00F817A4" w:rsidRDefault="00642887" w:rsidP="001305B9">
            <w:pPr>
              <w:rPr>
                <w:rFonts w:ascii="Calibri" w:hAnsi="Calibri"/>
                <w:color w:val="000000"/>
                <w:sz w:val="20"/>
                <w:szCs w:val="20"/>
              </w:rPr>
            </w:pPr>
            <w:r>
              <w:rPr>
                <w:rFonts w:ascii="Calibri" w:hAnsi="Calibri"/>
                <w:color w:val="000000"/>
                <w:sz w:val="20"/>
                <w:szCs w:val="20"/>
              </w:rPr>
              <w:t>Assistance – Information and Assistance</w:t>
            </w:r>
          </w:p>
        </w:tc>
        <w:tc>
          <w:tcPr>
            <w:tcW w:w="6120" w:type="dxa"/>
            <w:shd w:val="clear" w:color="auto" w:fill="auto"/>
            <w:noWrap/>
          </w:tcPr>
          <w:p w:rsidR="00B72521" w:rsidRDefault="00642887" w:rsidP="008162E4">
            <w:pPr>
              <w:spacing w:after="0" w:line="240" w:lineRule="auto"/>
            </w:pPr>
            <w:r>
              <w:t>A service that:</w:t>
            </w:r>
          </w:p>
          <w:p w:rsidR="00B72521" w:rsidRDefault="00642887" w:rsidP="008162E4">
            <w:pPr>
              <w:pStyle w:val="ListParagraph"/>
              <w:numPr>
                <w:ilvl w:val="0"/>
                <w:numId w:val="8"/>
              </w:numPr>
              <w:spacing w:after="0" w:line="240" w:lineRule="auto"/>
              <w:ind w:left="342" w:hanging="180"/>
            </w:pPr>
            <w:r>
              <w:t xml:space="preserve">provides the individuals with current information on opportunities and services available to the individuals within their communities, including information relating to assistive technology; </w:t>
            </w:r>
          </w:p>
          <w:p w:rsidR="00B72521" w:rsidRDefault="00642887" w:rsidP="008162E4">
            <w:pPr>
              <w:pStyle w:val="ListParagraph"/>
              <w:numPr>
                <w:ilvl w:val="0"/>
                <w:numId w:val="8"/>
              </w:numPr>
              <w:spacing w:after="0" w:line="240" w:lineRule="auto"/>
              <w:ind w:left="342" w:hanging="180"/>
            </w:pPr>
            <w:r>
              <w:t xml:space="preserve">assesses the problems and capacities of the individuals; </w:t>
            </w:r>
          </w:p>
          <w:p w:rsidR="00B72521" w:rsidRDefault="00642887" w:rsidP="008162E4">
            <w:pPr>
              <w:pStyle w:val="ListParagraph"/>
              <w:numPr>
                <w:ilvl w:val="0"/>
                <w:numId w:val="8"/>
              </w:numPr>
              <w:spacing w:after="0" w:line="240" w:lineRule="auto"/>
              <w:ind w:left="342" w:hanging="180"/>
            </w:pPr>
            <w:r>
              <w:t xml:space="preserve">links the individuals to the opportunities and services that are available; </w:t>
            </w:r>
          </w:p>
          <w:p w:rsidR="00B72521" w:rsidRDefault="00642887" w:rsidP="00F81D58">
            <w:pPr>
              <w:pStyle w:val="ListParagraph"/>
              <w:numPr>
                <w:ilvl w:val="0"/>
                <w:numId w:val="8"/>
              </w:numPr>
              <w:spacing w:after="0" w:line="240" w:lineRule="auto"/>
              <w:ind w:left="342" w:hanging="180"/>
            </w:pPr>
            <w:r>
              <w:t xml:space="preserve">to the maximum extent practicable, ensures that the individuals receive the services needed by the individuals, and are aware of the opportunities available to the individuals, by establishing adequate follow-up procedures; and </w:t>
            </w:r>
          </w:p>
          <w:p w:rsidR="00B72521" w:rsidRDefault="00642887" w:rsidP="00B72521">
            <w:pPr>
              <w:pStyle w:val="ListParagraph"/>
              <w:numPr>
                <w:ilvl w:val="0"/>
                <w:numId w:val="8"/>
              </w:numPr>
              <w:spacing w:after="0" w:line="240" w:lineRule="auto"/>
              <w:ind w:left="342" w:hanging="180"/>
            </w:pPr>
            <w:r>
              <w:t>serves the entire community of older individuals, particularly—</w:t>
            </w:r>
          </w:p>
          <w:p w:rsidR="00B72521" w:rsidRDefault="00642887" w:rsidP="00B72521">
            <w:pPr>
              <w:pStyle w:val="ListParagraph"/>
              <w:numPr>
                <w:ilvl w:val="1"/>
                <w:numId w:val="8"/>
              </w:numPr>
              <w:spacing w:after="0" w:line="240" w:lineRule="auto"/>
              <w:ind w:left="522" w:hanging="180"/>
            </w:pPr>
            <w:r>
              <w:t>caregivers who are older individuals with greatest social need;</w:t>
            </w:r>
          </w:p>
          <w:p w:rsidR="00B72521" w:rsidRDefault="00642887" w:rsidP="00B72521">
            <w:pPr>
              <w:pStyle w:val="ListParagraph"/>
              <w:numPr>
                <w:ilvl w:val="1"/>
                <w:numId w:val="8"/>
              </w:numPr>
              <w:spacing w:after="0" w:line="240" w:lineRule="auto"/>
              <w:ind w:left="522" w:hanging="180"/>
            </w:pPr>
            <w:r>
              <w:t>older individuals w</w:t>
            </w:r>
            <w:r w:rsidR="00B72521">
              <w:t>ith greatest economic need;</w:t>
            </w:r>
          </w:p>
          <w:p w:rsidR="00B72521" w:rsidRDefault="00642887" w:rsidP="00B72521">
            <w:pPr>
              <w:pStyle w:val="ListParagraph"/>
              <w:numPr>
                <w:ilvl w:val="1"/>
                <w:numId w:val="8"/>
              </w:numPr>
              <w:spacing w:after="0" w:line="240" w:lineRule="auto"/>
              <w:ind w:left="522" w:hanging="180"/>
            </w:pPr>
            <w:r>
              <w:t>older relative caregivers of children with severe disabilities, or individuals with disabilitie</w:t>
            </w:r>
            <w:r w:rsidR="00B72521">
              <w:t>s who have severe disabilities;</w:t>
            </w:r>
          </w:p>
          <w:p w:rsidR="00B72521" w:rsidRDefault="00642887" w:rsidP="00B72521">
            <w:pPr>
              <w:pStyle w:val="ListParagraph"/>
              <w:numPr>
                <w:ilvl w:val="1"/>
                <w:numId w:val="8"/>
              </w:numPr>
              <w:spacing w:after="0" w:line="240" w:lineRule="auto"/>
              <w:ind w:left="522" w:hanging="180"/>
            </w:pPr>
            <w:r>
              <w:t>family caregivers who provide care for individuals with Alzheimer’s disease and related disorders with neurological and o</w:t>
            </w:r>
            <w:r w:rsidR="00B72521">
              <w:t>rganic brain dysfunction; and</w:t>
            </w:r>
          </w:p>
          <w:p w:rsidR="00642887" w:rsidRPr="00F81D58" w:rsidRDefault="00642887" w:rsidP="00B72521">
            <w:pPr>
              <w:pStyle w:val="ListParagraph"/>
              <w:numPr>
                <w:ilvl w:val="1"/>
                <w:numId w:val="8"/>
              </w:numPr>
              <w:spacing w:after="0" w:line="240" w:lineRule="auto"/>
              <w:ind w:left="522" w:hanging="180"/>
            </w:pPr>
            <w:proofErr w:type="gramStart"/>
            <w:r>
              <w:t>caregivers</w:t>
            </w:r>
            <w:proofErr w:type="gramEnd"/>
            <w:r>
              <w:t xml:space="preserve"> of “frail” individuals defined as: unable to perform at least two activities of daily living without substantial human assistance, including verbal reminding, physical cueing, or supervision; and cognitive or other mental impairment, requires substantial supervision because the individual behaves in a manner that poses a serious health or safety hazard to the individual or to another individual.  (Source: OAA)</w:t>
            </w:r>
          </w:p>
        </w:tc>
        <w:tc>
          <w:tcPr>
            <w:tcW w:w="1458" w:type="dxa"/>
          </w:tcPr>
          <w:p w:rsidR="00642887" w:rsidRDefault="008903F5" w:rsidP="008162E4">
            <w:pPr>
              <w:spacing w:after="0" w:line="240" w:lineRule="auto"/>
            </w:pPr>
            <w:r>
              <w:t>contact</w:t>
            </w:r>
          </w:p>
        </w:tc>
      </w:tr>
      <w:tr w:rsidR="00642887" w:rsidRPr="00F817A4" w:rsidTr="00B72521">
        <w:trPr>
          <w:trHeight w:hRule="exact" w:val="1353"/>
        </w:trPr>
        <w:tc>
          <w:tcPr>
            <w:tcW w:w="2718" w:type="dxa"/>
            <w:shd w:val="clear" w:color="auto" w:fill="auto"/>
            <w:noWrap/>
          </w:tcPr>
          <w:p w:rsidR="00642887" w:rsidRPr="00F817A4" w:rsidRDefault="00642887" w:rsidP="001305B9">
            <w:pPr>
              <w:rPr>
                <w:rFonts w:ascii="Calibri" w:hAnsi="Calibri"/>
                <w:color w:val="000000"/>
                <w:sz w:val="20"/>
                <w:szCs w:val="20"/>
              </w:rPr>
            </w:pPr>
            <w:r>
              <w:rPr>
                <w:rFonts w:ascii="Calibri" w:hAnsi="Calibri"/>
                <w:color w:val="000000"/>
                <w:sz w:val="20"/>
                <w:szCs w:val="20"/>
              </w:rPr>
              <w:t>Information</w:t>
            </w:r>
            <w:r w:rsidR="00B72521">
              <w:rPr>
                <w:rFonts w:ascii="Calibri" w:hAnsi="Calibri"/>
                <w:color w:val="000000"/>
                <w:sz w:val="20"/>
                <w:szCs w:val="20"/>
              </w:rPr>
              <w:t xml:space="preserve"> Services (public)</w:t>
            </w:r>
          </w:p>
        </w:tc>
        <w:tc>
          <w:tcPr>
            <w:tcW w:w="6120" w:type="dxa"/>
            <w:shd w:val="clear" w:color="auto" w:fill="auto"/>
            <w:noWrap/>
          </w:tcPr>
          <w:p w:rsidR="00642887" w:rsidRPr="00FE2629" w:rsidRDefault="00642887" w:rsidP="00FE262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A public and media </w:t>
            </w:r>
            <w:r w:rsidRPr="007D7356">
              <w:rPr>
                <w:rFonts w:ascii="Calibri" w:eastAsia="Times New Roman" w:hAnsi="Calibri" w:cs="Times New Roman"/>
                <w:color w:val="000000"/>
                <w:sz w:val="20"/>
                <w:szCs w:val="20"/>
              </w:rPr>
              <w:t xml:space="preserve">activity </w:t>
            </w:r>
            <w:r>
              <w:rPr>
                <w:rFonts w:ascii="Calibri" w:eastAsia="Times New Roman" w:hAnsi="Calibri" w:cs="Times New Roman"/>
                <w:color w:val="000000"/>
                <w:sz w:val="20"/>
                <w:szCs w:val="20"/>
              </w:rPr>
              <w:t xml:space="preserve">that conveys information to caregivers about available services, which </w:t>
            </w:r>
            <w:r w:rsidRPr="007D7356">
              <w:rPr>
                <w:rFonts w:ascii="Calibri" w:eastAsia="Times New Roman" w:hAnsi="Calibri" w:cs="Times New Roman"/>
                <w:color w:val="000000"/>
                <w:sz w:val="20"/>
                <w:szCs w:val="20"/>
              </w:rPr>
              <w:t xml:space="preserve">can include an in-person interactive presentation to the public conducted; a booth/exhibit at a fair, conference, or other public event; and a radio, TV, or Web site event. </w:t>
            </w:r>
            <w:r>
              <w:rPr>
                <w:rFonts w:ascii="Calibri" w:eastAsia="Times New Roman" w:hAnsi="Calibri" w:cs="Times New Roman"/>
                <w:color w:val="000000"/>
                <w:sz w:val="20"/>
                <w:szCs w:val="20"/>
              </w:rPr>
              <w:t xml:space="preserve"> (Source: SHIP)</w:t>
            </w:r>
          </w:p>
        </w:tc>
        <w:tc>
          <w:tcPr>
            <w:tcW w:w="1458" w:type="dxa"/>
          </w:tcPr>
          <w:p w:rsidR="00642887" w:rsidRDefault="008903F5" w:rsidP="00FE262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activity</w:t>
            </w:r>
          </w:p>
        </w:tc>
      </w:tr>
    </w:tbl>
    <w:p w:rsidR="00BA59EA" w:rsidRDefault="00BA59EA"/>
    <w:p w:rsidR="00967C1F" w:rsidRDefault="00967C1F"/>
    <w:p w:rsidR="00B72521" w:rsidRDefault="00B72521">
      <w:r>
        <w:br w:type="page"/>
      </w:r>
    </w:p>
    <w:p w:rsidR="00967C1F" w:rsidRPr="00B200D6" w:rsidRDefault="00B200D6">
      <w:pPr>
        <w:rPr>
          <w:b/>
        </w:rPr>
      </w:pPr>
      <w:r w:rsidRPr="00B200D6">
        <w:rPr>
          <w:b/>
        </w:rPr>
        <w:t xml:space="preserve">Table 3.  </w:t>
      </w:r>
      <w:r w:rsidR="00967C1F" w:rsidRPr="00B200D6">
        <w:rPr>
          <w:b/>
        </w:rPr>
        <w:t>Additional Definitions:</w:t>
      </w:r>
    </w:p>
    <w:tbl>
      <w:tblPr>
        <w:tblW w:w="102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38"/>
        <w:gridCol w:w="6840"/>
      </w:tblGrid>
      <w:tr w:rsidR="00967C1F" w:rsidRPr="00F817A4" w:rsidTr="002D5F6B">
        <w:trPr>
          <w:cantSplit/>
          <w:trHeight w:hRule="exact" w:val="288"/>
          <w:tblHeader/>
        </w:trPr>
        <w:tc>
          <w:tcPr>
            <w:tcW w:w="3438" w:type="dxa"/>
            <w:shd w:val="clear" w:color="auto" w:fill="auto"/>
            <w:noWrap/>
            <w:hideMark/>
          </w:tcPr>
          <w:p w:rsidR="00967C1F" w:rsidRPr="008A71E1" w:rsidRDefault="00967C1F" w:rsidP="00A30ED0">
            <w:pPr>
              <w:spacing w:after="0" w:line="240" w:lineRule="auto"/>
              <w:rPr>
                <w:rFonts w:ascii="Calibri" w:eastAsia="Times New Roman" w:hAnsi="Calibri" w:cs="Times New Roman"/>
                <w:color w:val="000000"/>
                <w:sz w:val="20"/>
                <w:szCs w:val="20"/>
              </w:rPr>
            </w:pPr>
            <w:r w:rsidRPr="00F817A4">
              <w:rPr>
                <w:rFonts w:ascii="Calibri" w:eastAsia="Times New Roman" w:hAnsi="Calibri" w:cs="Times New Roman"/>
                <w:color w:val="000000"/>
                <w:sz w:val="20"/>
                <w:szCs w:val="20"/>
              </w:rPr>
              <w:t xml:space="preserve">Data </w:t>
            </w:r>
            <w:r w:rsidRPr="008A71E1">
              <w:rPr>
                <w:rFonts w:ascii="Calibri" w:eastAsia="Times New Roman" w:hAnsi="Calibri" w:cs="Times New Roman"/>
                <w:color w:val="000000"/>
                <w:sz w:val="20"/>
                <w:szCs w:val="20"/>
              </w:rPr>
              <w:t>Element</w:t>
            </w:r>
          </w:p>
        </w:tc>
        <w:tc>
          <w:tcPr>
            <w:tcW w:w="6840" w:type="dxa"/>
            <w:shd w:val="clear" w:color="auto" w:fill="auto"/>
            <w:noWrap/>
            <w:hideMark/>
          </w:tcPr>
          <w:p w:rsidR="00967C1F" w:rsidRPr="008A71E1" w:rsidRDefault="00967C1F" w:rsidP="00A30ED0">
            <w:pPr>
              <w:spacing w:after="0" w:line="240" w:lineRule="auto"/>
              <w:rPr>
                <w:rFonts w:ascii="Calibri" w:eastAsia="Times New Roman" w:hAnsi="Calibri" w:cs="Times New Roman"/>
                <w:color w:val="000000"/>
                <w:sz w:val="20"/>
                <w:szCs w:val="20"/>
              </w:rPr>
            </w:pPr>
            <w:r w:rsidRPr="008A71E1">
              <w:rPr>
                <w:rFonts w:ascii="Calibri" w:eastAsia="Times New Roman" w:hAnsi="Calibri" w:cs="Times New Roman"/>
                <w:color w:val="000000"/>
                <w:sz w:val="20"/>
                <w:szCs w:val="20"/>
              </w:rPr>
              <w:t>Definition</w:t>
            </w:r>
          </w:p>
        </w:tc>
      </w:tr>
      <w:tr w:rsidR="00967C1F" w:rsidRPr="00F817A4" w:rsidTr="002D5F6B">
        <w:trPr>
          <w:trHeight w:hRule="exact" w:val="1848"/>
        </w:trPr>
        <w:tc>
          <w:tcPr>
            <w:tcW w:w="3438" w:type="dxa"/>
            <w:shd w:val="clear" w:color="auto" w:fill="auto"/>
            <w:noWrap/>
          </w:tcPr>
          <w:p w:rsidR="00967C1F" w:rsidRDefault="0066577B" w:rsidP="0066577B">
            <w:pPr>
              <w:rPr>
                <w:rFonts w:ascii="Calibri" w:hAnsi="Calibri"/>
                <w:color w:val="000000"/>
              </w:rPr>
            </w:pPr>
            <w:r>
              <w:rPr>
                <w:rFonts w:ascii="Calibri" w:hAnsi="Calibri"/>
                <w:color w:val="000000"/>
              </w:rPr>
              <w:t>Registered Service</w:t>
            </w:r>
          </w:p>
        </w:tc>
        <w:tc>
          <w:tcPr>
            <w:tcW w:w="6840" w:type="dxa"/>
            <w:shd w:val="clear" w:color="auto" w:fill="auto"/>
            <w:noWrap/>
          </w:tcPr>
          <w:p w:rsidR="00967C1F" w:rsidRPr="008A71E1" w:rsidRDefault="00BC4AB9" w:rsidP="0018645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A service provided using OAA </w:t>
            </w:r>
            <w:r w:rsidR="00186456">
              <w:rPr>
                <w:rFonts w:ascii="Calibri" w:eastAsia="Times New Roman" w:hAnsi="Calibri" w:cs="Times New Roman"/>
                <w:color w:val="000000"/>
                <w:sz w:val="20"/>
                <w:szCs w:val="20"/>
              </w:rPr>
              <w:t>funds in whole or in part for which demographic and consumer characteri</w:t>
            </w:r>
            <w:r w:rsidR="001622B1">
              <w:rPr>
                <w:rFonts w:ascii="Calibri" w:eastAsia="Times New Roman" w:hAnsi="Calibri" w:cs="Times New Roman"/>
                <w:color w:val="000000"/>
                <w:sz w:val="20"/>
                <w:szCs w:val="20"/>
              </w:rPr>
              <w:t>stics are reported in aggregate to ACL/AoA</w:t>
            </w:r>
            <w:r w:rsidR="00186456">
              <w:rPr>
                <w:rFonts w:ascii="Calibri" w:eastAsia="Times New Roman" w:hAnsi="Calibri" w:cs="Times New Roman"/>
                <w:color w:val="000000"/>
                <w:sz w:val="20"/>
                <w:szCs w:val="20"/>
              </w:rPr>
              <w:t xml:space="preserve">  </w:t>
            </w:r>
            <w:r w:rsidR="00186456" w:rsidRPr="00186456">
              <w:rPr>
                <w:rFonts w:ascii="Calibri" w:eastAsia="Times New Roman" w:hAnsi="Calibri" w:cs="Times New Roman"/>
                <w:color w:val="000000"/>
                <w:sz w:val="20"/>
                <w:szCs w:val="20"/>
              </w:rPr>
              <w:t>The services</w:t>
            </w:r>
            <w:r w:rsidR="00186456">
              <w:rPr>
                <w:rFonts w:ascii="Calibri" w:eastAsia="Times New Roman" w:hAnsi="Calibri" w:cs="Times New Roman"/>
                <w:color w:val="000000"/>
                <w:sz w:val="20"/>
                <w:szCs w:val="20"/>
              </w:rPr>
              <w:t xml:space="preserve"> for older adult consumers (Title III-B, C, and D)</w:t>
            </w:r>
            <w:r w:rsidR="00186456" w:rsidRPr="00186456">
              <w:rPr>
                <w:rFonts w:ascii="Calibri" w:eastAsia="Times New Roman" w:hAnsi="Calibri" w:cs="Times New Roman"/>
                <w:color w:val="000000"/>
                <w:sz w:val="20"/>
                <w:szCs w:val="20"/>
              </w:rPr>
              <w:t xml:space="preserve"> include: adult day care/health, assisted transportation</w:t>
            </w:r>
            <w:r w:rsidR="00186456">
              <w:rPr>
                <w:rFonts w:ascii="Calibri" w:eastAsia="Times New Roman" w:hAnsi="Calibri" w:cs="Times New Roman"/>
                <w:color w:val="000000"/>
                <w:sz w:val="20"/>
                <w:szCs w:val="20"/>
              </w:rPr>
              <w:t xml:space="preserve">, </w:t>
            </w:r>
            <w:r w:rsidR="00186456" w:rsidRPr="00186456">
              <w:rPr>
                <w:rFonts w:ascii="Calibri" w:eastAsia="Times New Roman" w:hAnsi="Calibri" w:cs="Times New Roman"/>
                <w:color w:val="000000"/>
                <w:sz w:val="20"/>
                <w:szCs w:val="20"/>
              </w:rPr>
              <w:t xml:space="preserve"> case management</w:t>
            </w:r>
            <w:r w:rsidR="00186456">
              <w:rPr>
                <w:rFonts w:ascii="Calibri" w:eastAsia="Times New Roman" w:hAnsi="Calibri" w:cs="Times New Roman"/>
                <w:color w:val="000000"/>
                <w:sz w:val="20"/>
                <w:szCs w:val="20"/>
              </w:rPr>
              <w:t xml:space="preserve">, </w:t>
            </w:r>
            <w:r w:rsidR="00186456" w:rsidRPr="00186456">
              <w:rPr>
                <w:rFonts w:ascii="Calibri" w:eastAsia="Times New Roman" w:hAnsi="Calibri" w:cs="Times New Roman"/>
                <w:color w:val="000000"/>
                <w:sz w:val="20"/>
                <w:szCs w:val="20"/>
              </w:rPr>
              <w:t xml:space="preserve"> chore,</w:t>
            </w:r>
            <w:r w:rsidR="00186456">
              <w:rPr>
                <w:rFonts w:ascii="Calibri" w:eastAsia="Times New Roman" w:hAnsi="Calibri" w:cs="Times New Roman"/>
                <w:color w:val="000000"/>
                <w:sz w:val="20"/>
                <w:szCs w:val="20"/>
              </w:rPr>
              <w:t xml:space="preserve"> congregate meals</w:t>
            </w:r>
            <w:r w:rsidR="00186456" w:rsidRPr="00186456">
              <w:rPr>
                <w:rFonts w:ascii="Calibri" w:eastAsia="Times New Roman" w:hAnsi="Calibri" w:cs="Times New Roman"/>
                <w:color w:val="000000"/>
                <w:sz w:val="20"/>
                <w:szCs w:val="20"/>
              </w:rPr>
              <w:t>, home delivered meals, homemaker</w:t>
            </w:r>
            <w:r w:rsidR="00186456">
              <w:rPr>
                <w:rFonts w:ascii="Calibri" w:eastAsia="Times New Roman" w:hAnsi="Calibri" w:cs="Times New Roman"/>
                <w:color w:val="000000"/>
                <w:sz w:val="20"/>
                <w:szCs w:val="20"/>
              </w:rPr>
              <w:t xml:space="preserve">, </w:t>
            </w:r>
            <w:r w:rsidR="00186456" w:rsidRPr="00186456">
              <w:rPr>
                <w:rFonts w:ascii="Calibri" w:eastAsia="Times New Roman" w:hAnsi="Calibri" w:cs="Times New Roman"/>
                <w:color w:val="000000"/>
                <w:sz w:val="20"/>
                <w:szCs w:val="20"/>
              </w:rPr>
              <w:t xml:space="preserve"> nutrition counseling, </w:t>
            </w:r>
            <w:r w:rsidR="00186456">
              <w:rPr>
                <w:rFonts w:ascii="Calibri" w:eastAsia="Times New Roman" w:hAnsi="Calibri" w:cs="Times New Roman"/>
                <w:color w:val="000000"/>
                <w:sz w:val="20"/>
                <w:szCs w:val="20"/>
              </w:rPr>
              <w:t xml:space="preserve">and personal care.  The services for caregivers (Title III-E) include: </w:t>
            </w:r>
            <w:r w:rsidR="00186456" w:rsidRPr="00186456">
              <w:rPr>
                <w:rFonts w:ascii="Calibri" w:eastAsia="Times New Roman" w:hAnsi="Calibri" w:cs="Times New Roman"/>
                <w:color w:val="000000"/>
                <w:sz w:val="20"/>
                <w:szCs w:val="20"/>
              </w:rPr>
              <w:t>Assistance: Case Management</w:t>
            </w:r>
            <w:r w:rsidR="00186456">
              <w:rPr>
                <w:rFonts w:ascii="Calibri" w:eastAsia="Times New Roman" w:hAnsi="Calibri" w:cs="Times New Roman"/>
                <w:color w:val="000000"/>
                <w:sz w:val="20"/>
                <w:szCs w:val="20"/>
              </w:rPr>
              <w:t>, Counseling, Respite, Supplemental, and Training.</w:t>
            </w:r>
          </w:p>
        </w:tc>
      </w:tr>
      <w:tr w:rsidR="00967C1F" w:rsidRPr="00F817A4" w:rsidTr="002D5F6B">
        <w:trPr>
          <w:trHeight w:hRule="exact" w:val="993"/>
        </w:trPr>
        <w:tc>
          <w:tcPr>
            <w:tcW w:w="3438" w:type="dxa"/>
            <w:shd w:val="clear" w:color="auto" w:fill="auto"/>
            <w:noWrap/>
          </w:tcPr>
          <w:p w:rsidR="00967C1F" w:rsidRDefault="0066577B" w:rsidP="0066577B">
            <w:pPr>
              <w:rPr>
                <w:rFonts w:ascii="Calibri" w:hAnsi="Calibri"/>
                <w:color w:val="000000"/>
              </w:rPr>
            </w:pPr>
            <w:r>
              <w:rPr>
                <w:rFonts w:ascii="Calibri" w:hAnsi="Calibri"/>
                <w:color w:val="000000"/>
              </w:rPr>
              <w:t>Confidential Service</w:t>
            </w:r>
          </w:p>
        </w:tc>
        <w:tc>
          <w:tcPr>
            <w:tcW w:w="6840" w:type="dxa"/>
            <w:shd w:val="clear" w:color="auto" w:fill="auto"/>
            <w:noWrap/>
          </w:tcPr>
          <w:p w:rsidR="00967C1F" w:rsidRPr="001622B1" w:rsidRDefault="00186456" w:rsidP="00A30ED0">
            <w:pPr>
              <w:spacing w:after="0" w:line="240" w:lineRule="auto"/>
              <w:rPr>
                <w:rFonts w:ascii="Calibri" w:eastAsia="Times New Roman" w:hAnsi="Calibri" w:cs="Times New Roman"/>
                <w:color w:val="000000"/>
                <w:sz w:val="20"/>
                <w:szCs w:val="20"/>
                <w:highlight w:val="yellow"/>
              </w:rPr>
            </w:pPr>
            <w:r w:rsidRPr="003B2855">
              <w:rPr>
                <w:rFonts w:ascii="Calibri" w:eastAsia="Times New Roman" w:hAnsi="Calibri" w:cs="Times New Roman"/>
                <w:color w:val="000000"/>
                <w:sz w:val="20"/>
                <w:szCs w:val="20"/>
              </w:rPr>
              <w:t xml:space="preserve">A service provided using OAA funds in whole or in part for which demographic and consumer characteristics are reported in aggregate and consumer personal identifying information (PII) is not </w:t>
            </w:r>
            <w:r w:rsidR="001622B1" w:rsidRPr="003B2855">
              <w:rPr>
                <w:rFonts w:ascii="Calibri" w:eastAsia="Times New Roman" w:hAnsi="Calibri" w:cs="Times New Roman"/>
                <w:color w:val="000000"/>
                <w:sz w:val="20"/>
                <w:szCs w:val="20"/>
              </w:rPr>
              <w:t>shared or recorded at other than the provider level.</w:t>
            </w:r>
          </w:p>
        </w:tc>
      </w:tr>
      <w:tr w:rsidR="00967C1F" w:rsidRPr="00F817A4" w:rsidTr="002D5F6B">
        <w:trPr>
          <w:trHeight w:hRule="exact" w:val="624"/>
        </w:trPr>
        <w:tc>
          <w:tcPr>
            <w:tcW w:w="3438" w:type="dxa"/>
            <w:shd w:val="clear" w:color="auto" w:fill="auto"/>
            <w:noWrap/>
          </w:tcPr>
          <w:p w:rsidR="00967C1F" w:rsidRDefault="0066577B" w:rsidP="0066577B">
            <w:pPr>
              <w:rPr>
                <w:rFonts w:ascii="Calibri" w:hAnsi="Calibri"/>
                <w:color w:val="000000"/>
              </w:rPr>
            </w:pPr>
            <w:r>
              <w:rPr>
                <w:rFonts w:ascii="Calibri" w:hAnsi="Calibri"/>
                <w:color w:val="000000"/>
              </w:rPr>
              <w:t>Non-registered Service</w:t>
            </w:r>
          </w:p>
        </w:tc>
        <w:tc>
          <w:tcPr>
            <w:tcW w:w="6840" w:type="dxa"/>
            <w:shd w:val="clear" w:color="auto" w:fill="auto"/>
            <w:noWrap/>
          </w:tcPr>
          <w:p w:rsidR="00967C1F" w:rsidRPr="008A71E1" w:rsidRDefault="001622B1" w:rsidP="001622B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A service provided using OAA funds in whole or in part for which demographic and consumer characteristics are not reported to ACL/AoA.  </w:t>
            </w:r>
          </w:p>
        </w:tc>
      </w:tr>
      <w:tr w:rsidR="0066577B" w:rsidRPr="00F817A4" w:rsidTr="002D5F6B">
        <w:trPr>
          <w:trHeight w:hRule="exact" w:val="288"/>
        </w:trPr>
        <w:tc>
          <w:tcPr>
            <w:tcW w:w="3438" w:type="dxa"/>
            <w:shd w:val="clear" w:color="auto" w:fill="auto"/>
            <w:noWrap/>
          </w:tcPr>
          <w:p w:rsidR="0066577B" w:rsidRDefault="0066577B" w:rsidP="00A30ED0">
            <w:pPr>
              <w:rPr>
                <w:rFonts w:ascii="Calibri" w:hAnsi="Calibri"/>
                <w:color w:val="000000"/>
              </w:rPr>
            </w:pPr>
            <w:r>
              <w:rPr>
                <w:rFonts w:ascii="Calibri" w:hAnsi="Calibri"/>
                <w:color w:val="000000"/>
              </w:rPr>
              <w:t>Person Served</w:t>
            </w:r>
          </w:p>
        </w:tc>
        <w:tc>
          <w:tcPr>
            <w:tcW w:w="6840" w:type="dxa"/>
            <w:shd w:val="clear" w:color="auto" w:fill="auto"/>
            <w:noWrap/>
          </w:tcPr>
          <w:p w:rsidR="0066577B" w:rsidRPr="008A71E1" w:rsidRDefault="001622B1" w:rsidP="00A30ED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An individual who receives a service funded in whole or in part with OAA funds.</w:t>
            </w:r>
          </w:p>
        </w:tc>
      </w:tr>
      <w:tr w:rsidR="00967C1F" w:rsidRPr="00F817A4" w:rsidTr="002D5F6B">
        <w:trPr>
          <w:trHeight w:hRule="exact" w:val="615"/>
        </w:trPr>
        <w:tc>
          <w:tcPr>
            <w:tcW w:w="3438" w:type="dxa"/>
            <w:shd w:val="clear" w:color="auto" w:fill="auto"/>
            <w:noWrap/>
          </w:tcPr>
          <w:p w:rsidR="00967C1F" w:rsidRDefault="001E2345" w:rsidP="00A30ED0">
            <w:pPr>
              <w:rPr>
                <w:rFonts w:ascii="Calibri" w:hAnsi="Calibri"/>
                <w:color w:val="000000"/>
              </w:rPr>
            </w:pPr>
            <w:r>
              <w:rPr>
                <w:rFonts w:ascii="Calibri" w:hAnsi="Calibri"/>
                <w:color w:val="000000"/>
              </w:rPr>
              <w:t>Title III Expenditures</w:t>
            </w:r>
          </w:p>
        </w:tc>
        <w:tc>
          <w:tcPr>
            <w:tcW w:w="6840" w:type="dxa"/>
            <w:shd w:val="clear" w:color="auto" w:fill="auto"/>
            <w:noWrap/>
          </w:tcPr>
          <w:p w:rsidR="00967C1F" w:rsidRPr="008A71E1" w:rsidRDefault="001622B1" w:rsidP="00A30ED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Outlays or </w:t>
            </w:r>
            <w:r w:rsidRPr="001622B1">
              <w:rPr>
                <w:rFonts w:ascii="Calibri" w:eastAsia="Times New Roman" w:hAnsi="Calibri" w:cs="Times New Roman"/>
                <w:color w:val="000000"/>
                <w:sz w:val="20"/>
                <w:szCs w:val="20"/>
              </w:rPr>
              <w:t xml:space="preserve">payments made by the SUA and/or AAA’s using </w:t>
            </w:r>
            <w:r>
              <w:rPr>
                <w:rFonts w:ascii="Calibri" w:eastAsia="Times New Roman" w:hAnsi="Calibri" w:cs="Times New Roman"/>
                <w:color w:val="000000"/>
                <w:sz w:val="20"/>
                <w:szCs w:val="20"/>
              </w:rPr>
              <w:t xml:space="preserve">Title III-B, C, D, or E </w:t>
            </w:r>
            <w:r w:rsidRPr="001622B1">
              <w:rPr>
                <w:rFonts w:ascii="Calibri" w:eastAsia="Times New Roman" w:hAnsi="Calibri" w:cs="Times New Roman"/>
                <w:color w:val="000000"/>
                <w:sz w:val="20"/>
                <w:szCs w:val="20"/>
              </w:rPr>
              <w:t>OAA federal funds to provide an allowable service.</w:t>
            </w:r>
          </w:p>
        </w:tc>
      </w:tr>
      <w:tr w:rsidR="00A30ED0" w:rsidRPr="00F817A4" w:rsidTr="002D5F6B">
        <w:trPr>
          <w:trHeight w:hRule="exact" w:val="813"/>
        </w:trPr>
        <w:tc>
          <w:tcPr>
            <w:tcW w:w="3438" w:type="dxa"/>
            <w:shd w:val="clear" w:color="auto" w:fill="auto"/>
            <w:noWrap/>
          </w:tcPr>
          <w:p w:rsidR="00A30ED0" w:rsidRDefault="00A30ED0" w:rsidP="00A30ED0">
            <w:pPr>
              <w:rPr>
                <w:rFonts w:ascii="Calibri" w:hAnsi="Calibri"/>
                <w:color w:val="000000"/>
              </w:rPr>
            </w:pPr>
            <w:r>
              <w:rPr>
                <w:rFonts w:ascii="Calibri" w:hAnsi="Calibri"/>
                <w:color w:val="000000"/>
              </w:rPr>
              <w:t>NSIP Expenditures</w:t>
            </w:r>
          </w:p>
        </w:tc>
        <w:tc>
          <w:tcPr>
            <w:tcW w:w="6840" w:type="dxa"/>
            <w:shd w:val="clear" w:color="auto" w:fill="auto"/>
            <w:noWrap/>
          </w:tcPr>
          <w:p w:rsidR="00A30ED0" w:rsidRPr="008A71E1" w:rsidRDefault="001622B1" w:rsidP="001622B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Outlays or </w:t>
            </w:r>
            <w:r w:rsidRPr="001622B1">
              <w:rPr>
                <w:rFonts w:ascii="Calibri" w:eastAsia="Times New Roman" w:hAnsi="Calibri" w:cs="Times New Roman"/>
                <w:color w:val="000000"/>
                <w:sz w:val="20"/>
                <w:szCs w:val="20"/>
              </w:rPr>
              <w:t xml:space="preserve">payments made by the SUA and/or AAA’s using </w:t>
            </w:r>
            <w:r>
              <w:rPr>
                <w:rFonts w:ascii="Calibri" w:eastAsia="Times New Roman" w:hAnsi="Calibri" w:cs="Times New Roman"/>
                <w:color w:val="000000"/>
                <w:sz w:val="20"/>
                <w:szCs w:val="20"/>
              </w:rPr>
              <w:t xml:space="preserve">Title III-A </w:t>
            </w:r>
            <w:r w:rsidRPr="001622B1">
              <w:rPr>
                <w:rFonts w:ascii="Calibri" w:eastAsia="Times New Roman" w:hAnsi="Calibri" w:cs="Times New Roman"/>
                <w:color w:val="000000"/>
                <w:sz w:val="20"/>
                <w:szCs w:val="20"/>
              </w:rPr>
              <w:t xml:space="preserve">OAA federal funds to </w:t>
            </w:r>
            <w:r>
              <w:rPr>
                <w:rFonts w:ascii="Calibri" w:eastAsia="Times New Roman" w:hAnsi="Calibri" w:cs="Times New Roman"/>
                <w:color w:val="000000"/>
                <w:sz w:val="20"/>
                <w:szCs w:val="20"/>
              </w:rPr>
              <w:t xml:space="preserve">purchase food for </w:t>
            </w:r>
            <w:r w:rsidRPr="001622B1">
              <w:rPr>
                <w:rFonts w:ascii="Calibri" w:eastAsia="Times New Roman" w:hAnsi="Calibri" w:cs="Times New Roman"/>
                <w:color w:val="000000"/>
                <w:sz w:val="20"/>
                <w:szCs w:val="20"/>
              </w:rPr>
              <w:t>an allowable service</w:t>
            </w:r>
            <w:r>
              <w:rPr>
                <w:rFonts w:ascii="Calibri" w:eastAsia="Times New Roman" w:hAnsi="Calibri" w:cs="Times New Roman"/>
                <w:color w:val="000000"/>
                <w:sz w:val="20"/>
                <w:szCs w:val="20"/>
              </w:rPr>
              <w:t xml:space="preserve"> (Title III-C1 Congregate Nutrition or Title III-C2 Home-Delivered Nutrition)</w:t>
            </w:r>
            <w:r w:rsidRPr="001622B1">
              <w:rPr>
                <w:rFonts w:ascii="Calibri" w:eastAsia="Times New Roman" w:hAnsi="Calibri" w:cs="Times New Roman"/>
                <w:color w:val="000000"/>
                <w:sz w:val="20"/>
                <w:szCs w:val="20"/>
              </w:rPr>
              <w:t>.</w:t>
            </w:r>
          </w:p>
        </w:tc>
      </w:tr>
      <w:tr w:rsidR="00E854C0" w:rsidRPr="00F817A4" w:rsidTr="002D5F6B">
        <w:trPr>
          <w:trHeight w:hRule="exact" w:val="534"/>
        </w:trPr>
        <w:tc>
          <w:tcPr>
            <w:tcW w:w="3438" w:type="dxa"/>
            <w:shd w:val="clear" w:color="auto" w:fill="auto"/>
            <w:noWrap/>
          </w:tcPr>
          <w:p w:rsidR="00E854C0" w:rsidRDefault="00E854C0" w:rsidP="00A30ED0">
            <w:pPr>
              <w:rPr>
                <w:rFonts w:ascii="Calibri" w:hAnsi="Calibri"/>
                <w:color w:val="000000"/>
              </w:rPr>
            </w:pPr>
            <w:r>
              <w:rPr>
                <w:rFonts w:ascii="Calibri" w:hAnsi="Calibri"/>
                <w:color w:val="000000"/>
              </w:rPr>
              <w:t>Other – State Expenditures</w:t>
            </w:r>
          </w:p>
        </w:tc>
        <w:tc>
          <w:tcPr>
            <w:tcW w:w="6840" w:type="dxa"/>
            <w:shd w:val="clear" w:color="auto" w:fill="auto"/>
            <w:noWrap/>
          </w:tcPr>
          <w:p w:rsidR="00E854C0" w:rsidRPr="008A71E1" w:rsidRDefault="001622B1" w:rsidP="001622B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Outlays or </w:t>
            </w:r>
            <w:r w:rsidRPr="001622B1">
              <w:rPr>
                <w:rFonts w:ascii="Calibri" w:eastAsia="Times New Roman" w:hAnsi="Calibri" w:cs="Times New Roman"/>
                <w:color w:val="000000"/>
                <w:sz w:val="20"/>
                <w:szCs w:val="20"/>
              </w:rPr>
              <w:t xml:space="preserve">payments made by the SUA and/or AAA’s using </w:t>
            </w:r>
            <w:r>
              <w:rPr>
                <w:rFonts w:ascii="Calibri" w:eastAsia="Times New Roman" w:hAnsi="Calibri" w:cs="Times New Roman"/>
                <w:color w:val="000000"/>
                <w:sz w:val="20"/>
                <w:szCs w:val="20"/>
              </w:rPr>
              <w:t xml:space="preserve">state </w:t>
            </w:r>
            <w:r w:rsidRPr="001622B1">
              <w:rPr>
                <w:rFonts w:ascii="Calibri" w:eastAsia="Times New Roman" w:hAnsi="Calibri" w:cs="Times New Roman"/>
                <w:color w:val="000000"/>
                <w:sz w:val="20"/>
                <w:szCs w:val="20"/>
              </w:rPr>
              <w:t>funds to provide an allowable service.</w:t>
            </w:r>
          </w:p>
        </w:tc>
      </w:tr>
      <w:tr w:rsidR="00E854C0" w:rsidRPr="00F817A4" w:rsidTr="002D5F6B">
        <w:trPr>
          <w:trHeight w:hRule="exact" w:val="1074"/>
        </w:trPr>
        <w:tc>
          <w:tcPr>
            <w:tcW w:w="3438" w:type="dxa"/>
            <w:shd w:val="clear" w:color="auto" w:fill="auto"/>
            <w:noWrap/>
          </w:tcPr>
          <w:p w:rsidR="00E854C0" w:rsidRDefault="00E854C0" w:rsidP="00A30ED0">
            <w:pPr>
              <w:rPr>
                <w:rFonts w:ascii="Calibri" w:hAnsi="Calibri"/>
                <w:color w:val="000000"/>
              </w:rPr>
            </w:pPr>
            <w:r>
              <w:rPr>
                <w:rFonts w:ascii="Calibri" w:hAnsi="Calibri"/>
                <w:color w:val="000000"/>
              </w:rPr>
              <w:t>Other – Non-state Expenditures</w:t>
            </w:r>
          </w:p>
        </w:tc>
        <w:tc>
          <w:tcPr>
            <w:tcW w:w="6840" w:type="dxa"/>
            <w:shd w:val="clear" w:color="auto" w:fill="auto"/>
            <w:noWrap/>
          </w:tcPr>
          <w:p w:rsidR="00E854C0" w:rsidRPr="008A71E1" w:rsidRDefault="001622B1" w:rsidP="008C169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Outlays or </w:t>
            </w:r>
            <w:r w:rsidRPr="001622B1">
              <w:rPr>
                <w:rFonts w:ascii="Calibri" w:eastAsia="Times New Roman" w:hAnsi="Calibri" w:cs="Times New Roman"/>
                <w:color w:val="000000"/>
                <w:sz w:val="20"/>
                <w:szCs w:val="20"/>
              </w:rPr>
              <w:t xml:space="preserve">payments made by the SUA and/or AAA’s using </w:t>
            </w:r>
            <w:r>
              <w:rPr>
                <w:rFonts w:ascii="Calibri" w:eastAsia="Times New Roman" w:hAnsi="Calibri" w:cs="Times New Roman"/>
                <w:color w:val="000000"/>
                <w:sz w:val="20"/>
                <w:szCs w:val="20"/>
              </w:rPr>
              <w:t xml:space="preserve">non-state </w:t>
            </w:r>
            <w:r w:rsidRPr="001622B1">
              <w:rPr>
                <w:rFonts w:ascii="Calibri" w:eastAsia="Times New Roman" w:hAnsi="Calibri" w:cs="Times New Roman"/>
                <w:color w:val="000000"/>
                <w:sz w:val="20"/>
                <w:szCs w:val="20"/>
              </w:rPr>
              <w:t>funds to provide an allowable service.</w:t>
            </w:r>
            <w:r>
              <w:rPr>
                <w:rFonts w:ascii="Calibri" w:eastAsia="Times New Roman" w:hAnsi="Calibri" w:cs="Times New Roman"/>
                <w:color w:val="000000"/>
                <w:sz w:val="20"/>
                <w:szCs w:val="20"/>
              </w:rPr>
              <w:t xml:space="preserve">  </w:t>
            </w:r>
            <w:r w:rsidR="008C169F">
              <w:rPr>
                <w:rFonts w:ascii="Calibri" w:eastAsia="Times New Roman" w:hAnsi="Calibri" w:cs="Times New Roman"/>
                <w:color w:val="000000"/>
                <w:sz w:val="20"/>
                <w:szCs w:val="20"/>
              </w:rPr>
              <w:t xml:space="preserve">This may </w:t>
            </w:r>
            <w:r>
              <w:rPr>
                <w:rFonts w:ascii="Calibri" w:eastAsia="Times New Roman" w:hAnsi="Calibri" w:cs="Times New Roman"/>
                <w:color w:val="000000"/>
                <w:sz w:val="20"/>
                <w:szCs w:val="20"/>
              </w:rPr>
              <w:t>include</w:t>
            </w:r>
            <w:r w:rsidR="008C169F">
              <w:rPr>
                <w:rFonts w:ascii="Calibri" w:eastAsia="Times New Roman" w:hAnsi="Calibri" w:cs="Times New Roman"/>
                <w:color w:val="000000"/>
                <w:sz w:val="20"/>
                <w:szCs w:val="20"/>
              </w:rPr>
              <w:t xml:space="preserve"> but is not limited to: </w:t>
            </w:r>
            <w:r>
              <w:rPr>
                <w:rFonts w:ascii="Calibri" w:eastAsia="Times New Roman" w:hAnsi="Calibri" w:cs="Times New Roman"/>
                <w:color w:val="000000"/>
                <w:sz w:val="20"/>
                <w:szCs w:val="20"/>
              </w:rPr>
              <w:t xml:space="preserve">local </w:t>
            </w:r>
            <w:r w:rsidR="008C169F">
              <w:rPr>
                <w:rFonts w:ascii="Calibri" w:eastAsia="Times New Roman" w:hAnsi="Calibri" w:cs="Times New Roman"/>
                <w:color w:val="000000"/>
                <w:sz w:val="20"/>
                <w:szCs w:val="20"/>
              </w:rPr>
              <w:t>funding (governmental and non-governmental), non-Title III federal funding (e.g. SSBG), and private funding.</w:t>
            </w:r>
          </w:p>
        </w:tc>
      </w:tr>
      <w:tr w:rsidR="00967C1F" w:rsidRPr="00F817A4" w:rsidTr="002D5F6B">
        <w:trPr>
          <w:trHeight w:hRule="exact" w:val="3324"/>
        </w:trPr>
        <w:tc>
          <w:tcPr>
            <w:tcW w:w="3438" w:type="dxa"/>
            <w:shd w:val="clear" w:color="auto" w:fill="auto"/>
            <w:noWrap/>
          </w:tcPr>
          <w:p w:rsidR="00967C1F" w:rsidRDefault="001E2345" w:rsidP="00A30ED0">
            <w:pPr>
              <w:rPr>
                <w:rFonts w:ascii="Calibri" w:hAnsi="Calibri"/>
                <w:color w:val="000000"/>
              </w:rPr>
            </w:pPr>
            <w:r>
              <w:rPr>
                <w:rFonts w:ascii="Calibri" w:hAnsi="Calibri"/>
                <w:color w:val="000000"/>
              </w:rPr>
              <w:t>Program Income</w:t>
            </w:r>
          </w:p>
        </w:tc>
        <w:tc>
          <w:tcPr>
            <w:tcW w:w="6840" w:type="dxa"/>
            <w:shd w:val="clear" w:color="auto" w:fill="auto"/>
            <w:noWrap/>
          </w:tcPr>
          <w:p w:rsidR="00967C1F" w:rsidRPr="001E2345" w:rsidRDefault="001E2345" w:rsidP="00A30ED0">
            <w:pPr>
              <w:spacing w:after="0" w:line="240" w:lineRule="auto"/>
              <w:rPr>
                <w:rFonts w:eastAsia="Times New Roman" w:cs="Times New Roman"/>
                <w:color w:val="000000"/>
                <w:sz w:val="20"/>
                <w:szCs w:val="20"/>
              </w:rPr>
            </w:pPr>
            <w:r w:rsidRPr="001E2345">
              <w:rPr>
                <w:rFonts w:cs="Arial"/>
                <w:color w:val="000000"/>
                <w:sz w:val="20"/>
                <w:szCs w:val="20"/>
                <w:shd w:val="clear" w:color="auto" w:fill="FFFFFF"/>
              </w:rPr>
              <w:t xml:space="preserve">gross income earned by the non-Federal entity that is directly generated by a supported activity or earned as a result of the Federal award during the period of performance except as provided in §75.307(f). (See </w:t>
            </w:r>
            <w:r w:rsidRPr="001E2345">
              <w:rPr>
                <w:rFonts w:cs="Arial"/>
                <w:i/>
                <w:iCs/>
                <w:color w:val="000000"/>
                <w:sz w:val="20"/>
                <w:szCs w:val="20"/>
                <w:shd w:val="clear" w:color="auto" w:fill="FFFFFF"/>
              </w:rPr>
              <w:t>Period of performance.</w:t>
            </w:r>
            <w:r w:rsidRPr="001E2345">
              <w:rPr>
                <w:rFonts w:cs="Arial"/>
                <w:color w:val="000000"/>
                <w:sz w:val="20"/>
                <w:szCs w:val="20"/>
                <w:shd w:val="clear" w:color="auto" w:fill="FFFFFF"/>
              </w:rPr>
              <w:t>) Program income includes but is not limited to income from fees for services performed, the use or rental or real or personal property acquired under Federal awards, the sale of commodities or items fabricated under a Federal award, license fees and royalties on patents and copyrights, and principal and interest on loans made with Federal award funds. Interest earned on advances of Federal funds is not program income. Except as otherwise provided in Federal statutes, regulations, or the terms and conditions of the Federal award, program income does not include rebates, credits, discounts, and interest earned on any of them. See also §§75.307, 75.407 and 35 U.S.C. 200-212 (applies to inventions made under Federal awards)</w:t>
            </w:r>
          </w:p>
        </w:tc>
      </w:tr>
      <w:tr w:rsidR="00E854C0" w:rsidRPr="00F817A4" w:rsidTr="002D5F6B">
        <w:trPr>
          <w:trHeight w:hRule="exact" w:val="543"/>
        </w:trPr>
        <w:tc>
          <w:tcPr>
            <w:tcW w:w="3438" w:type="dxa"/>
            <w:shd w:val="clear" w:color="auto" w:fill="auto"/>
            <w:noWrap/>
          </w:tcPr>
          <w:p w:rsidR="00E854C0" w:rsidRDefault="00E854C0" w:rsidP="00A30ED0">
            <w:pPr>
              <w:rPr>
                <w:rFonts w:ascii="Calibri" w:hAnsi="Calibri"/>
                <w:color w:val="000000"/>
              </w:rPr>
            </w:pPr>
            <w:r>
              <w:rPr>
                <w:rFonts w:ascii="Calibri" w:hAnsi="Calibri"/>
                <w:color w:val="000000"/>
              </w:rPr>
              <w:t>Part B Expenditures</w:t>
            </w:r>
          </w:p>
        </w:tc>
        <w:tc>
          <w:tcPr>
            <w:tcW w:w="6840" w:type="dxa"/>
            <w:shd w:val="clear" w:color="auto" w:fill="auto"/>
            <w:noWrap/>
          </w:tcPr>
          <w:p w:rsidR="00E854C0" w:rsidRPr="001E2345" w:rsidRDefault="008C169F" w:rsidP="008C169F">
            <w:pPr>
              <w:spacing w:after="0" w:line="240" w:lineRule="auto"/>
              <w:rPr>
                <w:rFonts w:cs="Arial"/>
                <w:color w:val="000000"/>
                <w:sz w:val="20"/>
                <w:szCs w:val="20"/>
                <w:shd w:val="clear" w:color="auto" w:fill="FFFFFF"/>
              </w:rPr>
            </w:pPr>
            <w:r>
              <w:rPr>
                <w:rFonts w:ascii="Calibri" w:eastAsia="Times New Roman" w:hAnsi="Calibri" w:cs="Times New Roman"/>
                <w:color w:val="000000"/>
                <w:sz w:val="20"/>
                <w:szCs w:val="20"/>
              </w:rPr>
              <w:t xml:space="preserve">Outlays or </w:t>
            </w:r>
            <w:r w:rsidRPr="001622B1">
              <w:rPr>
                <w:rFonts w:ascii="Calibri" w:eastAsia="Times New Roman" w:hAnsi="Calibri" w:cs="Times New Roman"/>
                <w:color w:val="000000"/>
                <w:sz w:val="20"/>
                <w:szCs w:val="20"/>
              </w:rPr>
              <w:t xml:space="preserve">payments made by the SUA and/or AAA’s using </w:t>
            </w:r>
            <w:r>
              <w:rPr>
                <w:rFonts w:ascii="Calibri" w:eastAsia="Times New Roman" w:hAnsi="Calibri" w:cs="Times New Roman"/>
                <w:color w:val="000000"/>
                <w:sz w:val="20"/>
                <w:szCs w:val="20"/>
              </w:rPr>
              <w:t xml:space="preserve">Title III-B </w:t>
            </w:r>
            <w:r w:rsidRPr="001622B1">
              <w:rPr>
                <w:rFonts w:ascii="Calibri" w:eastAsia="Times New Roman" w:hAnsi="Calibri" w:cs="Times New Roman"/>
                <w:color w:val="000000"/>
                <w:sz w:val="20"/>
                <w:szCs w:val="20"/>
              </w:rPr>
              <w:t>OAA federal funds to provide an allowable service.</w:t>
            </w:r>
          </w:p>
        </w:tc>
      </w:tr>
      <w:tr w:rsidR="00E854C0" w:rsidRPr="00F817A4" w:rsidTr="002D5F6B">
        <w:trPr>
          <w:trHeight w:hRule="exact" w:val="543"/>
        </w:trPr>
        <w:tc>
          <w:tcPr>
            <w:tcW w:w="3438" w:type="dxa"/>
            <w:shd w:val="clear" w:color="auto" w:fill="auto"/>
            <w:noWrap/>
          </w:tcPr>
          <w:p w:rsidR="00E854C0" w:rsidRDefault="00E854C0" w:rsidP="00A30ED0">
            <w:pPr>
              <w:rPr>
                <w:rFonts w:ascii="Calibri" w:hAnsi="Calibri"/>
                <w:color w:val="000000"/>
              </w:rPr>
            </w:pPr>
            <w:r>
              <w:rPr>
                <w:rFonts w:ascii="Calibri" w:hAnsi="Calibri"/>
                <w:color w:val="000000"/>
              </w:rPr>
              <w:t>Part D Expenditures</w:t>
            </w:r>
          </w:p>
        </w:tc>
        <w:tc>
          <w:tcPr>
            <w:tcW w:w="6840" w:type="dxa"/>
            <w:shd w:val="clear" w:color="auto" w:fill="auto"/>
            <w:noWrap/>
          </w:tcPr>
          <w:p w:rsidR="00E854C0" w:rsidRPr="001E2345" w:rsidRDefault="008C169F" w:rsidP="00A30ED0">
            <w:pPr>
              <w:spacing w:after="0" w:line="240" w:lineRule="auto"/>
              <w:rPr>
                <w:rFonts w:cs="Arial"/>
                <w:color w:val="000000"/>
                <w:sz w:val="20"/>
                <w:szCs w:val="20"/>
                <w:shd w:val="clear" w:color="auto" w:fill="FFFFFF"/>
              </w:rPr>
            </w:pPr>
            <w:r>
              <w:rPr>
                <w:rFonts w:ascii="Calibri" w:eastAsia="Times New Roman" w:hAnsi="Calibri" w:cs="Times New Roman"/>
                <w:color w:val="000000"/>
                <w:sz w:val="20"/>
                <w:szCs w:val="20"/>
              </w:rPr>
              <w:t xml:space="preserve">Outlays or </w:t>
            </w:r>
            <w:r w:rsidRPr="001622B1">
              <w:rPr>
                <w:rFonts w:ascii="Calibri" w:eastAsia="Times New Roman" w:hAnsi="Calibri" w:cs="Times New Roman"/>
                <w:color w:val="000000"/>
                <w:sz w:val="20"/>
                <w:szCs w:val="20"/>
              </w:rPr>
              <w:t xml:space="preserve">payments made by the SUA and/or AAA’s using </w:t>
            </w:r>
            <w:r>
              <w:rPr>
                <w:rFonts w:ascii="Calibri" w:eastAsia="Times New Roman" w:hAnsi="Calibri" w:cs="Times New Roman"/>
                <w:color w:val="000000"/>
                <w:sz w:val="20"/>
                <w:szCs w:val="20"/>
              </w:rPr>
              <w:t xml:space="preserve">Title III-D </w:t>
            </w:r>
            <w:r w:rsidRPr="001622B1">
              <w:rPr>
                <w:rFonts w:ascii="Calibri" w:eastAsia="Times New Roman" w:hAnsi="Calibri" w:cs="Times New Roman"/>
                <w:color w:val="000000"/>
                <w:sz w:val="20"/>
                <w:szCs w:val="20"/>
              </w:rPr>
              <w:t>OAA federal funds to provide an allowable service.</w:t>
            </w:r>
          </w:p>
        </w:tc>
      </w:tr>
      <w:tr w:rsidR="00967C1F" w:rsidRPr="00F817A4" w:rsidTr="002D5F6B">
        <w:trPr>
          <w:trHeight w:hRule="exact" w:val="2550"/>
        </w:trPr>
        <w:tc>
          <w:tcPr>
            <w:tcW w:w="3438" w:type="dxa"/>
            <w:shd w:val="clear" w:color="auto" w:fill="auto"/>
            <w:noWrap/>
          </w:tcPr>
          <w:p w:rsidR="00967C1F" w:rsidRDefault="00E854C0" w:rsidP="00A30ED0">
            <w:pPr>
              <w:rPr>
                <w:rFonts w:ascii="Calibri" w:hAnsi="Calibri"/>
                <w:color w:val="000000"/>
              </w:rPr>
            </w:pPr>
            <w:r>
              <w:rPr>
                <w:rFonts w:ascii="Calibri" w:hAnsi="Calibri"/>
                <w:color w:val="000000"/>
              </w:rPr>
              <w:t>Other Federal Funds</w:t>
            </w:r>
          </w:p>
        </w:tc>
        <w:tc>
          <w:tcPr>
            <w:tcW w:w="6840" w:type="dxa"/>
            <w:shd w:val="clear" w:color="auto" w:fill="auto"/>
            <w:noWrap/>
          </w:tcPr>
          <w:p w:rsidR="00967C1F" w:rsidRDefault="00E854C0" w:rsidP="00F842EF">
            <w:pPr>
              <w:spacing w:after="0" w:line="240" w:lineRule="auto"/>
              <w:rPr>
                <w:rFonts w:eastAsia="Times New Roman" w:cs="Times New Roman"/>
                <w:color w:val="000000"/>
                <w:sz w:val="20"/>
                <w:szCs w:val="20"/>
              </w:rPr>
            </w:pPr>
            <w:r w:rsidRPr="00F842EF">
              <w:rPr>
                <w:rFonts w:eastAsia="Times New Roman" w:cs="Times New Roman"/>
                <w:color w:val="000000"/>
                <w:sz w:val="20"/>
                <w:szCs w:val="20"/>
              </w:rPr>
              <w:t xml:space="preserve">Indication of </w:t>
            </w:r>
            <w:r w:rsidR="00F842EF" w:rsidRPr="00F842EF">
              <w:rPr>
                <w:rFonts w:eastAsia="Times New Roman" w:cs="Times New Roman"/>
                <w:color w:val="000000"/>
                <w:sz w:val="20"/>
                <w:szCs w:val="20"/>
              </w:rPr>
              <w:t xml:space="preserve">non-OAA </w:t>
            </w:r>
            <w:r w:rsidRPr="00F842EF">
              <w:rPr>
                <w:rFonts w:eastAsia="Times New Roman" w:cs="Times New Roman"/>
                <w:color w:val="000000"/>
                <w:sz w:val="20"/>
                <w:szCs w:val="20"/>
              </w:rPr>
              <w:t xml:space="preserve">federal funds used </w:t>
            </w:r>
            <w:r w:rsidR="00F842EF" w:rsidRPr="00F842EF">
              <w:rPr>
                <w:rFonts w:eastAsia="Times New Roman" w:cs="Times New Roman"/>
                <w:color w:val="000000"/>
                <w:sz w:val="20"/>
                <w:szCs w:val="20"/>
              </w:rPr>
              <w:t>by the SUA/AAAs to support services funded in whole or in part with OAA funds.</w:t>
            </w:r>
            <w:r w:rsidRPr="00F842EF">
              <w:rPr>
                <w:rFonts w:eastAsia="Times New Roman" w:cs="Times New Roman"/>
                <w:color w:val="000000"/>
                <w:sz w:val="20"/>
                <w:szCs w:val="20"/>
              </w:rPr>
              <w:t xml:space="preserve">  </w:t>
            </w:r>
            <w:r w:rsidR="00F842EF">
              <w:rPr>
                <w:rFonts w:eastAsia="Times New Roman" w:cs="Times New Roman"/>
                <w:color w:val="000000"/>
                <w:sz w:val="20"/>
                <w:szCs w:val="20"/>
              </w:rPr>
              <w:t>The multiple choice option responses identify common federal sources of funding for home and community-based support services.</w:t>
            </w:r>
          </w:p>
          <w:p w:rsidR="00A638E0" w:rsidRDefault="00A638E0" w:rsidP="00A638E0">
            <w:pPr>
              <w:pStyle w:val="ListParagraph"/>
              <w:numPr>
                <w:ilvl w:val="0"/>
                <w:numId w:val="10"/>
              </w:numPr>
              <w:spacing w:after="0" w:line="240" w:lineRule="auto"/>
              <w:ind w:left="162" w:hanging="162"/>
              <w:rPr>
                <w:rFonts w:eastAsia="Times New Roman" w:cs="Times New Roman"/>
                <w:color w:val="000000"/>
                <w:sz w:val="20"/>
                <w:szCs w:val="20"/>
              </w:rPr>
            </w:pPr>
            <w:r w:rsidRPr="00A638E0">
              <w:rPr>
                <w:rFonts w:eastAsia="Times New Roman" w:cs="Times New Roman"/>
                <w:color w:val="000000"/>
                <w:sz w:val="20"/>
                <w:szCs w:val="20"/>
              </w:rPr>
              <w:t>SSBG is the Social Services Block Grant program administered by A</w:t>
            </w:r>
            <w:r>
              <w:rPr>
                <w:rFonts w:eastAsia="Times New Roman" w:cs="Times New Roman"/>
                <w:color w:val="000000"/>
                <w:sz w:val="20"/>
                <w:szCs w:val="20"/>
              </w:rPr>
              <w:t xml:space="preserve">dministration for </w:t>
            </w:r>
            <w:r w:rsidRPr="00A638E0">
              <w:rPr>
                <w:rFonts w:eastAsia="Times New Roman" w:cs="Times New Roman"/>
                <w:color w:val="000000"/>
                <w:sz w:val="20"/>
                <w:szCs w:val="20"/>
              </w:rPr>
              <w:t>C</w:t>
            </w:r>
            <w:r>
              <w:rPr>
                <w:rFonts w:eastAsia="Times New Roman" w:cs="Times New Roman"/>
                <w:color w:val="000000"/>
                <w:sz w:val="20"/>
                <w:szCs w:val="20"/>
              </w:rPr>
              <w:t xml:space="preserve">hildren and </w:t>
            </w:r>
            <w:r w:rsidRPr="00A638E0">
              <w:rPr>
                <w:rFonts w:eastAsia="Times New Roman" w:cs="Times New Roman"/>
                <w:color w:val="000000"/>
                <w:sz w:val="20"/>
                <w:szCs w:val="20"/>
              </w:rPr>
              <w:t>F</w:t>
            </w:r>
            <w:r>
              <w:rPr>
                <w:rFonts w:eastAsia="Times New Roman" w:cs="Times New Roman"/>
                <w:color w:val="000000"/>
                <w:sz w:val="20"/>
                <w:szCs w:val="20"/>
              </w:rPr>
              <w:t>amilies (ACF)</w:t>
            </w:r>
          </w:p>
          <w:p w:rsidR="00A638E0" w:rsidRDefault="00A638E0" w:rsidP="00A638E0">
            <w:pPr>
              <w:pStyle w:val="ListParagraph"/>
              <w:numPr>
                <w:ilvl w:val="0"/>
                <w:numId w:val="10"/>
              </w:numPr>
              <w:spacing w:after="0" w:line="240" w:lineRule="auto"/>
              <w:ind w:left="162" w:hanging="162"/>
              <w:rPr>
                <w:rFonts w:eastAsia="Times New Roman" w:cs="Times New Roman"/>
                <w:color w:val="000000"/>
                <w:sz w:val="20"/>
                <w:szCs w:val="20"/>
              </w:rPr>
            </w:pPr>
            <w:r w:rsidRPr="00A638E0">
              <w:rPr>
                <w:rFonts w:eastAsia="Times New Roman" w:cs="Times New Roman"/>
                <w:color w:val="000000"/>
                <w:sz w:val="20"/>
                <w:szCs w:val="20"/>
              </w:rPr>
              <w:t>CSBG is the Community Services Block Grant program administered by A</w:t>
            </w:r>
            <w:r>
              <w:rPr>
                <w:rFonts w:eastAsia="Times New Roman" w:cs="Times New Roman"/>
                <w:color w:val="000000"/>
                <w:sz w:val="20"/>
                <w:szCs w:val="20"/>
              </w:rPr>
              <w:t xml:space="preserve">dministration for </w:t>
            </w:r>
            <w:r w:rsidRPr="00A638E0">
              <w:rPr>
                <w:rFonts w:eastAsia="Times New Roman" w:cs="Times New Roman"/>
                <w:color w:val="000000"/>
                <w:sz w:val="20"/>
                <w:szCs w:val="20"/>
              </w:rPr>
              <w:t>C</w:t>
            </w:r>
            <w:r>
              <w:rPr>
                <w:rFonts w:eastAsia="Times New Roman" w:cs="Times New Roman"/>
                <w:color w:val="000000"/>
                <w:sz w:val="20"/>
                <w:szCs w:val="20"/>
              </w:rPr>
              <w:t xml:space="preserve">hildren and </w:t>
            </w:r>
            <w:r w:rsidRPr="00A638E0">
              <w:rPr>
                <w:rFonts w:eastAsia="Times New Roman" w:cs="Times New Roman"/>
                <w:color w:val="000000"/>
                <w:sz w:val="20"/>
                <w:szCs w:val="20"/>
              </w:rPr>
              <w:t>F</w:t>
            </w:r>
            <w:r>
              <w:rPr>
                <w:rFonts w:eastAsia="Times New Roman" w:cs="Times New Roman"/>
                <w:color w:val="000000"/>
                <w:sz w:val="20"/>
                <w:szCs w:val="20"/>
              </w:rPr>
              <w:t>amilies (ACF)</w:t>
            </w:r>
          </w:p>
          <w:p w:rsidR="00A638E0" w:rsidRDefault="00A638E0" w:rsidP="00A638E0">
            <w:pPr>
              <w:pStyle w:val="ListParagraph"/>
              <w:numPr>
                <w:ilvl w:val="0"/>
                <w:numId w:val="10"/>
              </w:numPr>
              <w:spacing w:after="0" w:line="240" w:lineRule="auto"/>
              <w:ind w:left="162" w:hanging="162"/>
              <w:rPr>
                <w:rFonts w:eastAsia="Times New Roman" w:cs="Times New Roman"/>
                <w:color w:val="000000"/>
                <w:sz w:val="20"/>
                <w:szCs w:val="20"/>
              </w:rPr>
            </w:pPr>
            <w:r>
              <w:rPr>
                <w:rFonts w:eastAsia="Times New Roman" w:cs="Times New Roman"/>
                <w:color w:val="000000"/>
                <w:sz w:val="20"/>
                <w:szCs w:val="20"/>
              </w:rPr>
              <w:t>USDA is the US Department of Agriculture</w:t>
            </w:r>
          </w:p>
          <w:p w:rsidR="00A638E0" w:rsidRPr="00A638E0" w:rsidRDefault="00A638E0" w:rsidP="00A638E0">
            <w:pPr>
              <w:pStyle w:val="ListParagraph"/>
              <w:numPr>
                <w:ilvl w:val="0"/>
                <w:numId w:val="10"/>
              </w:numPr>
              <w:spacing w:after="0" w:line="240" w:lineRule="auto"/>
              <w:ind w:left="162" w:hanging="162"/>
              <w:rPr>
                <w:rFonts w:eastAsia="Times New Roman" w:cs="Times New Roman"/>
                <w:color w:val="000000"/>
                <w:sz w:val="20"/>
                <w:szCs w:val="20"/>
              </w:rPr>
            </w:pPr>
            <w:r>
              <w:rPr>
                <w:rFonts w:eastAsia="Times New Roman" w:cs="Times New Roman"/>
                <w:color w:val="000000"/>
                <w:sz w:val="20"/>
                <w:szCs w:val="20"/>
              </w:rPr>
              <w:t>DOT is the US Department of Transportation</w:t>
            </w:r>
          </w:p>
        </w:tc>
      </w:tr>
      <w:tr w:rsidR="00967C1F" w:rsidRPr="00F817A4" w:rsidTr="002D5F6B">
        <w:trPr>
          <w:trHeight w:hRule="exact" w:val="921"/>
        </w:trPr>
        <w:tc>
          <w:tcPr>
            <w:tcW w:w="3438" w:type="dxa"/>
            <w:shd w:val="clear" w:color="auto" w:fill="auto"/>
            <w:noWrap/>
          </w:tcPr>
          <w:p w:rsidR="00967C1F" w:rsidRDefault="00E854C0" w:rsidP="00085121">
            <w:pPr>
              <w:rPr>
                <w:rFonts w:ascii="Calibri" w:hAnsi="Calibri"/>
                <w:color w:val="000000"/>
              </w:rPr>
            </w:pPr>
            <w:r>
              <w:rPr>
                <w:rFonts w:ascii="Calibri" w:hAnsi="Calibri"/>
                <w:color w:val="000000"/>
              </w:rPr>
              <w:t>P</w:t>
            </w:r>
            <w:r w:rsidR="00085121">
              <w:rPr>
                <w:rFonts w:ascii="Calibri" w:hAnsi="Calibri"/>
                <w:color w:val="000000"/>
              </w:rPr>
              <w:t xml:space="preserve">lanning and </w:t>
            </w:r>
            <w:r>
              <w:rPr>
                <w:rFonts w:ascii="Calibri" w:hAnsi="Calibri"/>
                <w:color w:val="000000"/>
              </w:rPr>
              <w:t>S</w:t>
            </w:r>
            <w:r w:rsidR="00085121">
              <w:rPr>
                <w:rFonts w:ascii="Calibri" w:hAnsi="Calibri"/>
                <w:color w:val="000000"/>
              </w:rPr>
              <w:t xml:space="preserve">ervice </w:t>
            </w:r>
            <w:r>
              <w:rPr>
                <w:rFonts w:ascii="Calibri" w:hAnsi="Calibri"/>
                <w:color w:val="000000"/>
              </w:rPr>
              <w:t>A</w:t>
            </w:r>
            <w:r w:rsidR="00085121">
              <w:rPr>
                <w:rFonts w:ascii="Calibri" w:hAnsi="Calibri"/>
                <w:color w:val="000000"/>
              </w:rPr>
              <w:t>rea</w:t>
            </w:r>
            <w:r>
              <w:rPr>
                <w:rFonts w:ascii="Calibri" w:hAnsi="Calibri"/>
                <w:color w:val="000000"/>
              </w:rPr>
              <w:t xml:space="preserve"> (</w:t>
            </w:r>
            <w:r w:rsidR="00085121">
              <w:rPr>
                <w:rFonts w:ascii="Calibri" w:hAnsi="Calibri"/>
                <w:color w:val="000000"/>
              </w:rPr>
              <w:t>PSA</w:t>
            </w:r>
            <w:r>
              <w:rPr>
                <w:rFonts w:ascii="Calibri" w:hAnsi="Calibri"/>
                <w:color w:val="000000"/>
              </w:rPr>
              <w:t>)</w:t>
            </w:r>
          </w:p>
        </w:tc>
        <w:tc>
          <w:tcPr>
            <w:tcW w:w="6840" w:type="dxa"/>
            <w:shd w:val="clear" w:color="auto" w:fill="auto"/>
            <w:noWrap/>
          </w:tcPr>
          <w:p w:rsidR="00967C1F" w:rsidRPr="001E2345" w:rsidRDefault="00085121" w:rsidP="00A30ED0">
            <w:pPr>
              <w:spacing w:after="0" w:line="240" w:lineRule="auto"/>
              <w:rPr>
                <w:rFonts w:eastAsia="Times New Roman" w:cs="Times New Roman"/>
                <w:color w:val="000000"/>
                <w:sz w:val="20"/>
                <w:szCs w:val="20"/>
              </w:rPr>
            </w:pPr>
            <w:r>
              <w:t>An area designated by a State agency under the OAA section 305(a</w:t>
            </w:r>
            <w:proofErr w:type="gramStart"/>
            <w:r>
              <w:t>)(</w:t>
            </w:r>
            <w:proofErr w:type="gramEnd"/>
            <w:r>
              <w:t>1)(E), including a single planning and service area described in section 305(b)(5)(A).</w:t>
            </w:r>
          </w:p>
        </w:tc>
      </w:tr>
      <w:tr w:rsidR="00E854C0" w:rsidRPr="00F817A4" w:rsidTr="002D5F6B">
        <w:trPr>
          <w:trHeight w:hRule="exact" w:val="903"/>
        </w:trPr>
        <w:tc>
          <w:tcPr>
            <w:tcW w:w="3438" w:type="dxa"/>
            <w:shd w:val="clear" w:color="auto" w:fill="auto"/>
            <w:noWrap/>
          </w:tcPr>
          <w:p w:rsidR="00E854C0" w:rsidRDefault="00E854C0" w:rsidP="00A30ED0">
            <w:pPr>
              <w:rPr>
                <w:rFonts w:ascii="Calibri" w:hAnsi="Calibri"/>
                <w:color w:val="000000"/>
              </w:rPr>
            </w:pPr>
            <w:r>
              <w:rPr>
                <w:rFonts w:ascii="Calibri" w:hAnsi="Calibri"/>
                <w:color w:val="000000"/>
              </w:rPr>
              <w:t>Full-time staff</w:t>
            </w:r>
          </w:p>
        </w:tc>
        <w:tc>
          <w:tcPr>
            <w:tcW w:w="6840" w:type="dxa"/>
            <w:shd w:val="clear" w:color="auto" w:fill="auto"/>
            <w:noWrap/>
          </w:tcPr>
          <w:p w:rsidR="00E854C0" w:rsidRPr="001E2345" w:rsidRDefault="00560C31" w:rsidP="00560C31">
            <w:pPr>
              <w:spacing w:after="0" w:line="240" w:lineRule="auto"/>
              <w:rPr>
                <w:rFonts w:eastAsia="Times New Roman" w:cs="Times New Roman"/>
                <w:color w:val="000000"/>
                <w:sz w:val="20"/>
                <w:szCs w:val="20"/>
              </w:rPr>
            </w:pPr>
            <w:r w:rsidRPr="00560C31">
              <w:rPr>
                <w:rFonts w:eastAsia="Times New Roman" w:cs="Times New Roman"/>
                <w:color w:val="000000"/>
                <w:sz w:val="20"/>
                <w:szCs w:val="20"/>
              </w:rPr>
              <w:t>Persons who work 35 hours or more per week</w:t>
            </w:r>
            <w:r>
              <w:rPr>
                <w:rFonts w:eastAsia="Times New Roman" w:cs="Times New Roman"/>
                <w:color w:val="000000"/>
                <w:sz w:val="20"/>
                <w:szCs w:val="20"/>
              </w:rPr>
              <w:t xml:space="preserve"> in a compensated (paid) position as of September 30</w:t>
            </w:r>
            <w:r w:rsidRPr="00560C31">
              <w:rPr>
                <w:rFonts w:eastAsia="Times New Roman" w:cs="Times New Roman"/>
                <w:color w:val="000000"/>
                <w:sz w:val="20"/>
                <w:szCs w:val="20"/>
                <w:vertAlign w:val="superscript"/>
              </w:rPr>
              <w:t>th</w:t>
            </w:r>
            <w:r>
              <w:rPr>
                <w:rFonts w:eastAsia="Times New Roman" w:cs="Times New Roman"/>
                <w:color w:val="000000"/>
                <w:sz w:val="20"/>
                <w:szCs w:val="20"/>
              </w:rPr>
              <w:t xml:space="preserve"> of the reporting year (federal fiscal year)</w:t>
            </w:r>
            <w:r w:rsidRPr="00560C31">
              <w:rPr>
                <w:rFonts w:eastAsia="Times New Roman" w:cs="Times New Roman"/>
                <w:color w:val="000000"/>
                <w:sz w:val="20"/>
                <w:szCs w:val="20"/>
              </w:rPr>
              <w:t>.</w:t>
            </w:r>
            <w:r>
              <w:rPr>
                <w:rFonts w:eastAsia="Times New Roman" w:cs="Times New Roman"/>
                <w:color w:val="000000"/>
                <w:sz w:val="20"/>
                <w:szCs w:val="20"/>
              </w:rPr>
              <w:t xml:space="preserve"> (Source: US Census, Current Population Survey)</w:t>
            </w:r>
          </w:p>
        </w:tc>
      </w:tr>
      <w:tr w:rsidR="00E854C0" w:rsidRPr="00F817A4" w:rsidTr="002D5F6B">
        <w:trPr>
          <w:trHeight w:hRule="exact" w:val="813"/>
        </w:trPr>
        <w:tc>
          <w:tcPr>
            <w:tcW w:w="3438" w:type="dxa"/>
            <w:shd w:val="clear" w:color="auto" w:fill="auto"/>
            <w:noWrap/>
          </w:tcPr>
          <w:p w:rsidR="00E854C0" w:rsidRDefault="00E854C0" w:rsidP="00A30ED0">
            <w:pPr>
              <w:rPr>
                <w:rFonts w:ascii="Calibri" w:hAnsi="Calibri"/>
                <w:color w:val="000000"/>
              </w:rPr>
            </w:pPr>
            <w:r>
              <w:rPr>
                <w:rFonts w:ascii="Calibri" w:hAnsi="Calibri"/>
                <w:color w:val="000000"/>
              </w:rPr>
              <w:t>Part-time staff</w:t>
            </w:r>
          </w:p>
        </w:tc>
        <w:tc>
          <w:tcPr>
            <w:tcW w:w="6840" w:type="dxa"/>
            <w:shd w:val="clear" w:color="auto" w:fill="auto"/>
            <w:noWrap/>
          </w:tcPr>
          <w:p w:rsidR="00E854C0" w:rsidRPr="001E2345" w:rsidRDefault="00560C31" w:rsidP="00A30ED0">
            <w:pPr>
              <w:spacing w:after="0" w:line="240" w:lineRule="auto"/>
              <w:rPr>
                <w:rFonts w:eastAsia="Times New Roman" w:cs="Times New Roman"/>
                <w:color w:val="000000"/>
                <w:sz w:val="20"/>
                <w:szCs w:val="20"/>
              </w:rPr>
            </w:pPr>
            <w:r w:rsidRPr="00560C31">
              <w:rPr>
                <w:rFonts w:eastAsia="Times New Roman" w:cs="Times New Roman"/>
                <w:color w:val="000000"/>
                <w:sz w:val="20"/>
                <w:szCs w:val="20"/>
              </w:rPr>
              <w:t>Persons who work less than 35 hours per week</w:t>
            </w:r>
            <w:r>
              <w:rPr>
                <w:rFonts w:eastAsia="Times New Roman" w:cs="Times New Roman"/>
                <w:color w:val="000000"/>
                <w:sz w:val="20"/>
                <w:szCs w:val="20"/>
              </w:rPr>
              <w:t xml:space="preserve"> in a compensated (paid) position as of September 30</w:t>
            </w:r>
            <w:r w:rsidRPr="00560C31">
              <w:rPr>
                <w:rFonts w:eastAsia="Times New Roman" w:cs="Times New Roman"/>
                <w:color w:val="000000"/>
                <w:sz w:val="20"/>
                <w:szCs w:val="20"/>
                <w:vertAlign w:val="superscript"/>
              </w:rPr>
              <w:t>th</w:t>
            </w:r>
            <w:r>
              <w:rPr>
                <w:rFonts w:eastAsia="Times New Roman" w:cs="Times New Roman"/>
                <w:color w:val="000000"/>
                <w:sz w:val="20"/>
                <w:szCs w:val="20"/>
              </w:rPr>
              <w:t xml:space="preserve"> of the reporting year (federal fiscal year)</w:t>
            </w:r>
            <w:r w:rsidRPr="00560C31">
              <w:rPr>
                <w:rFonts w:eastAsia="Times New Roman" w:cs="Times New Roman"/>
                <w:color w:val="000000"/>
                <w:sz w:val="20"/>
                <w:szCs w:val="20"/>
              </w:rPr>
              <w:t>.</w:t>
            </w:r>
            <w:r>
              <w:rPr>
                <w:rFonts w:eastAsia="Times New Roman" w:cs="Times New Roman"/>
                <w:color w:val="000000"/>
                <w:sz w:val="20"/>
                <w:szCs w:val="20"/>
              </w:rPr>
              <w:t xml:space="preserve">  (Source: US Census, Current Population Survey)</w:t>
            </w:r>
          </w:p>
        </w:tc>
      </w:tr>
      <w:tr w:rsidR="00E854C0" w:rsidRPr="00F817A4" w:rsidTr="002D5F6B">
        <w:trPr>
          <w:trHeight w:hRule="exact" w:val="363"/>
        </w:trPr>
        <w:tc>
          <w:tcPr>
            <w:tcW w:w="3438" w:type="dxa"/>
            <w:shd w:val="clear" w:color="auto" w:fill="auto"/>
            <w:noWrap/>
          </w:tcPr>
          <w:p w:rsidR="00E854C0" w:rsidRDefault="00E854C0" w:rsidP="00A30ED0">
            <w:pPr>
              <w:rPr>
                <w:rFonts w:ascii="Calibri" w:hAnsi="Calibri"/>
                <w:color w:val="000000"/>
              </w:rPr>
            </w:pPr>
            <w:r w:rsidRPr="005013D3">
              <w:t>SCSEP</w:t>
            </w:r>
          </w:p>
        </w:tc>
        <w:tc>
          <w:tcPr>
            <w:tcW w:w="6840" w:type="dxa"/>
            <w:shd w:val="clear" w:color="auto" w:fill="auto"/>
            <w:noWrap/>
          </w:tcPr>
          <w:p w:rsidR="00E854C0" w:rsidRPr="00560C31" w:rsidRDefault="00560C31" w:rsidP="00560C31">
            <w:pPr>
              <w:spacing w:after="0" w:line="240" w:lineRule="auto"/>
            </w:pPr>
            <w:r>
              <w:t>Older American Community Service Employment Program</w:t>
            </w:r>
          </w:p>
        </w:tc>
      </w:tr>
      <w:tr w:rsidR="00E854C0" w:rsidRPr="00F817A4" w:rsidTr="002D5F6B">
        <w:trPr>
          <w:trHeight w:hRule="exact" w:val="867"/>
        </w:trPr>
        <w:tc>
          <w:tcPr>
            <w:tcW w:w="3438" w:type="dxa"/>
            <w:shd w:val="clear" w:color="auto" w:fill="auto"/>
            <w:noWrap/>
          </w:tcPr>
          <w:p w:rsidR="00E854C0" w:rsidRDefault="00E854C0" w:rsidP="00A30ED0">
            <w:pPr>
              <w:rPr>
                <w:rFonts w:ascii="Calibri" w:hAnsi="Calibri"/>
                <w:color w:val="000000"/>
              </w:rPr>
            </w:pPr>
            <w:r>
              <w:rPr>
                <w:rFonts w:ascii="Calibri" w:hAnsi="Calibri"/>
                <w:color w:val="000000"/>
              </w:rPr>
              <w:t>Volunteer</w:t>
            </w:r>
          </w:p>
        </w:tc>
        <w:tc>
          <w:tcPr>
            <w:tcW w:w="6840" w:type="dxa"/>
            <w:shd w:val="clear" w:color="auto" w:fill="auto"/>
            <w:noWrap/>
          </w:tcPr>
          <w:p w:rsidR="00E854C0" w:rsidRPr="001E2345" w:rsidRDefault="00BC4AB9" w:rsidP="00A30ED0">
            <w:pPr>
              <w:spacing w:after="0" w:line="240" w:lineRule="auto"/>
              <w:rPr>
                <w:rFonts w:eastAsia="Times New Roman" w:cs="Times New Roman"/>
                <w:color w:val="000000"/>
                <w:sz w:val="20"/>
                <w:szCs w:val="20"/>
              </w:rPr>
            </w:pPr>
            <w:r w:rsidRPr="00BC4AB9">
              <w:rPr>
                <w:rFonts w:eastAsia="Times New Roman" w:cs="Times New Roman"/>
                <w:color w:val="000000"/>
                <w:sz w:val="20"/>
                <w:szCs w:val="20"/>
              </w:rPr>
              <w:t>An uncompensated individual who provides services or support on behalf of older individuals. Only staff working under the AAA, not the AAA contractors, shall be included.</w:t>
            </w:r>
            <w:r>
              <w:rPr>
                <w:rFonts w:eastAsia="Times New Roman" w:cs="Times New Roman"/>
                <w:color w:val="000000"/>
                <w:sz w:val="20"/>
                <w:szCs w:val="20"/>
              </w:rPr>
              <w:t xml:space="preserve"> (Source: current SPR)</w:t>
            </w:r>
          </w:p>
        </w:tc>
      </w:tr>
      <w:tr w:rsidR="00E854C0" w:rsidRPr="00F817A4" w:rsidTr="002D5F6B">
        <w:trPr>
          <w:trHeight w:hRule="exact" w:val="1029"/>
        </w:trPr>
        <w:tc>
          <w:tcPr>
            <w:tcW w:w="3438" w:type="dxa"/>
            <w:shd w:val="clear" w:color="auto" w:fill="auto"/>
            <w:noWrap/>
          </w:tcPr>
          <w:p w:rsidR="00E854C0" w:rsidRDefault="00E854C0" w:rsidP="00A30ED0">
            <w:pPr>
              <w:rPr>
                <w:rFonts w:ascii="Calibri" w:hAnsi="Calibri"/>
                <w:color w:val="000000"/>
              </w:rPr>
            </w:pPr>
            <w:r>
              <w:rPr>
                <w:rFonts w:ascii="Calibri" w:hAnsi="Calibri"/>
                <w:color w:val="000000"/>
              </w:rPr>
              <w:t>Volunteer hours</w:t>
            </w:r>
          </w:p>
        </w:tc>
        <w:tc>
          <w:tcPr>
            <w:tcW w:w="6840" w:type="dxa"/>
            <w:shd w:val="clear" w:color="auto" w:fill="auto"/>
            <w:noWrap/>
          </w:tcPr>
          <w:p w:rsidR="00E854C0" w:rsidRPr="001E2345" w:rsidRDefault="00560C31" w:rsidP="00560C31">
            <w:pPr>
              <w:spacing w:after="0" w:line="240" w:lineRule="auto"/>
              <w:rPr>
                <w:rFonts w:eastAsia="Times New Roman" w:cs="Times New Roman"/>
                <w:color w:val="000000"/>
                <w:sz w:val="20"/>
                <w:szCs w:val="20"/>
              </w:rPr>
            </w:pPr>
            <w:r>
              <w:rPr>
                <w:rFonts w:eastAsia="Times New Roman" w:cs="Times New Roman"/>
                <w:color w:val="000000"/>
                <w:sz w:val="20"/>
                <w:szCs w:val="20"/>
              </w:rPr>
              <w:t>Hour of uncompensated work performed during the reporting year by a</w:t>
            </w:r>
            <w:r w:rsidRPr="00BC4AB9">
              <w:rPr>
                <w:rFonts w:eastAsia="Times New Roman" w:cs="Times New Roman"/>
                <w:color w:val="000000"/>
                <w:sz w:val="20"/>
                <w:szCs w:val="20"/>
              </w:rPr>
              <w:t xml:space="preserve">n uncompensated individual who provides services or support on behalf of older individuals. Only </w:t>
            </w:r>
            <w:r>
              <w:rPr>
                <w:rFonts w:eastAsia="Times New Roman" w:cs="Times New Roman"/>
                <w:color w:val="000000"/>
                <w:sz w:val="20"/>
                <w:szCs w:val="20"/>
              </w:rPr>
              <w:t xml:space="preserve">hours </w:t>
            </w:r>
            <w:r w:rsidRPr="00BC4AB9">
              <w:rPr>
                <w:rFonts w:eastAsia="Times New Roman" w:cs="Times New Roman"/>
                <w:color w:val="000000"/>
                <w:sz w:val="20"/>
                <w:szCs w:val="20"/>
              </w:rPr>
              <w:t>working under the AAA, not the AAA contractors, shall be included.</w:t>
            </w:r>
          </w:p>
        </w:tc>
      </w:tr>
      <w:tr w:rsidR="00E854C0" w:rsidRPr="00F817A4" w:rsidTr="002D5F6B">
        <w:trPr>
          <w:trHeight w:hRule="exact" w:val="1074"/>
        </w:trPr>
        <w:tc>
          <w:tcPr>
            <w:tcW w:w="3438" w:type="dxa"/>
            <w:shd w:val="clear" w:color="auto" w:fill="auto"/>
            <w:noWrap/>
          </w:tcPr>
          <w:p w:rsidR="00E854C0" w:rsidRDefault="00E854C0" w:rsidP="00A30ED0">
            <w:pPr>
              <w:rPr>
                <w:rFonts w:ascii="Calibri" w:hAnsi="Calibri"/>
                <w:color w:val="000000"/>
              </w:rPr>
            </w:pPr>
            <w:r>
              <w:rPr>
                <w:rFonts w:ascii="Calibri" w:hAnsi="Calibri"/>
                <w:color w:val="000000"/>
              </w:rPr>
              <w:t>Provider</w:t>
            </w:r>
          </w:p>
        </w:tc>
        <w:tc>
          <w:tcPr>
            <w:tcW w:w="6840" w:type="dxa"/>
            <w:shd w:val="clear" w:color="auto" w:fill="auto"/>
            <w:noWrap/>
          </w:tcPr>
          <w:p w:rsidR="00E854C0" w:rsidRPr="001E2345" w:rsidRDefault="00560C31" w:rsidP="00560C31">
            <w:pPr>
              <w:spacing w:after="0" w:line="240" w:lineRule="auto"/>
              <w:rPr>
                <w:rFonts w:eastAsia="Times New Roman" w:cs="Times New Roman"/>
                <w:color w:val="000000"/>
                <w:sz w:val="20"/>
                <w:szCs w:val="20"/>
              </w:rPr>
            </w:pPr>
            <w:r w:rsidRPr="00560C31">
              <w:rPr>
                <w:rFonts w:eastAsia="Times New Roman" w:cs="Times New Roman"/>
                <w:color w:val="000000"/>
                <w:sz w:val="20"/>
                <w:szCs w:val="20"/>
              </w:rPr>
              <w:t xml:space="preserve">An organization or person which provides services to </w:t>
            </w:r>
            <w:r>
              <w:rPr>
                <w:rFonts w:eastAsia="Times New Roman" w:cs="Times New Roman"/>
                <w:color w:val="000000"/>
                <w:sz w:val="20"/>
                <w:szCs w:val="20"/>
              </w:rPr>
              <w:t>individuals</w:t>
            </w:r>
            <w:r w:rsidRPr="00560C31">
              <w:rPr>
                <w:rFonts w:eastAsia="Times New Roman" w:cs="Times New Roman"/>
                <w:color w:val="000000"/>
                <w:sz w:val="20"/>
                <w:szCs w:val="20"/>
              </w:rPr>
              <w:t xml:space="preserve"> under a formal contractual arrangement with an AAA or SUA.  Under Title III-E, in cases where direct cash payment is made to a caregiver and the ultimate provider is unknown, the number of providers may be omitted.</w:t>
            </w:r>
          </w:p>
        </w:tc>
      </w:tr>
      <w:tr w:rsidR="00E854C0" w:rsidRPr="00F817A4" w:rsidTr="002D5F6B">
        <w:trPr>
          <w:trHeight w:hRule="exact" w:val="1344"/>
        </w:trPr>
        <w:tc>
          <w:tcPr>
            <w:tcW w:w="3438" w:type="dxa"/>
            <w:shd w:val="clear" w:color="auto" w:fill="auto"/>
            <w:noWrap/>
          </w:tcPr>
          <w:p w:rsidR="00E854C0" w:rsidRDefault="00E854C0" w:rsidP="00A30ED0">
            <w:pPr>
              <w:rPr>
                <w:rFonts w:ascii="Calibri" w:hAnsi="Calibri"/>
                <w:color w:val="000000"/>
              </w:rPr>
            </w:pPr>
            <w:r>
              <w:rPr>
                <w:rFonts w:ascii="Calibri" w:hAnsi="Calibri"/>
                <w:color w:val="000000"/>
              </w:rPr>
              <w:t>Senior Center</w:t>
            </w:r>
          </w:p>
        </w:tc>
        <w:tc>
          <w:tcPr>
            <w:tcW w:w="6840" w:type="dxa"/>
            <w:shd w:val="clear" w:color="auto" w:fill="auto"/>
            <w:noWrap/>
          </w:tcPr>
          <w:p w:rsidR="00E854C0" w:rsidRPr="001E2345" w:rsidRDefault="00A67A28" w:rsidP="00560C31">
            <w:pPr>
              <w:spacing w:after="0" w:line="240" w:lineRule="auto"/>
              <w:rPr>
                <w:rFonts w:eastAsia="Times New Roman" w:cs="Times New Roman"/>
                <w:color w:val="000000"/>
                <w:sz w:val="20"/>
                <w:szCs w:val="20"/>
              </w:rPr>
            </w:pPr>
            <w:r>
              <w:t xml:space="preserve">A community facility for the organization and provision of a </w:t>
            </w:r>
            <w:r>
              <w:rPr>
                <w:rFonts w:eastAsia="Times New Roman" w:cs="Times New Roman"/>
                <w:color w:val="000000"/>
                <w:sz w:val="20"/>
                <w:szCs w:val="20"/>
              </w:rPr>
              <w:t xml:space="preserve">broad </w:t>
            </w:r>
            <w:r w:rsidR="00560C31" w:rsidRPr="00560C31">
              <w:rPr>
                <w:rFonts w:eastAsia="Times New Roman" w:cs="Times New Roman"/>
                <w:color w:val="000000"/>
                <w:sz w:val="20"/>
                <w:szCs w:val="20"/>
              </w:rPr>
              <w:t>spectrum of services, which shall include provision of health</w:t>
            </w:r>
            <w:r>
              <w:rPr>
                <w:rFonts w:eastAsia="Times New Roman" w:cs="Times New Roman"/>
                <w:color w:val="000000"/>
                <w:sz w:val="20"/>
                <w:szCs w:val="20"/>
              </w:rPr>
              <w:t xml:space="preserve"> </w:t>
            </w:r>
            <w:r w:rsidR="00560C31" w:rsidRPr="00560C31">
              <w:rPr>
                <w:rFonts w:eastAsia="Times New Roman" w:cs="Times New Roman"/>
                <w:color w:val="000000"/>
                <w:sz w:val="20"/>
                <w:szCs w:val="20"/>
              </w:rPr>
              <w:t>(including mental and behaviora</w:t>
            </w:r>
            <w:r>
              <w:rPr>
                <w:rFonts w:eastAsia="Times New Roman" w:cs="Times New Roman"/>
                <w:color w:val="000000"/>
                <w:sz w:val="20"/>
                <w:szCs w:val="20"/>
              </w:rPr>
              <w:t xml:space="preserve">l health), social, nutritional, </w:t>
            </w:r>
            <w:r w:rsidR="00560C31" w:rsidRPr="00560C31">
              <w:rPr>
                <w:rFonts w:eastAsia="Times New Roman" w:cs="Times New Roman"/>
                <w:color w:val="000000"/>
                <w:sz w:val="20"/>
                <w:szCs w:val="20"/>
              </w:rPr>
              <w:t>and educational services and the provision of facilities for recre</w:t>
            </w:r>
            <w:r>
              <w:rPr>
                <w:rFonts w:eastAsia="Times New Roman" w:cs="Times New Roman"/>
                <w:color w:val="000000"/>
                <w:sz w:val="20"/>
                <w:szCs w:val="20"/>
              </w:rPr>
              <w:t xml:space="preserve">ational </w:t>
            </w:r>
            <w:r w:rsidR="00560C31" w:rsidRPr="00560C31">
              <w:rPr>
                <w:rFonts w:eastAsia="Times New Roman" w:cs="Times New Roman"/>
                <w:color w:val="000000"/>
                <w:sz w:val="20"/>
                <w:szCs w:val="20"/>
              </w:rPr>
              <w:t>activities for older individuals.</w:t>
            </w:r>
            <w:r>
              <w:rPr>
                <w:rFonts w:eastAsia="Times New Roman" w:cs="Times New Roman"/>
                <w:color w:val="000000"/>
                <w:sz w:val="20"/>
                <w:szCs w:val="20"/>
              </w:rPr>
              <w:t xml:space="preserve"> (Source: OAA)</w:t>
            </w:r>
          </w:p>
        </w:tc>
      </w:tr>
      <w:tr w:rsidR="00E854C0" w:rsidRPr="00F817A4" w:rsidTr="002D5F6B">
        <w:trPr>
          <w:trHeight w:hRule="exact" w:val="903"/>
        </w:trPr>
        <w:tc>
          <w:tcPr>
            <w:tcW w:w="3438" w:type="dxa"/>
            <w:shd w:val="clear" w:color="auto" w:fill="auto"/>
            <w:noWrap/>
          </w:tcPr>
          <w:p w:rsidR="00E854C0" w:rsidRDefault="00E854C0" w:rsidP="00A30ED0">
            <w:pPr>
              <w:rPr>
                <w:rFonts w:ascii="Calibri" w:hAnsi="Calibri"/>
                <w:color w:val="000000"/>
              </w:rPr>
            </w:pPr>
            <w:r>
              <w:rPr>
                <w:rFonts w:ascii="Calibri" w:hAnsi="Calibri"/>
                <w:color w:val="000000"/>
              </w:rPr>
              <w:t>Focal Point</w:t>
            </w:r>
          </w:p>
        </w:tc>
        <w:tc>
          <w:tcPr>
            <w:tcW w:w="6840" w:type="dxa"/>
            <w:shd w:val="clear" w:color="auto" w:fill="auto"/>
            <w:noWrap/>
          </w:tcPr>
          <w:p w:rsidR="00A67A28" w:rsidRDefault="00A67A28" w:rsidP="00A67A28">
            <w:pPr>
              <w:spacing w:after="0" w:line="240" w:lineRule="auto"/>
            </w:pPr>
            <w:r>
              <w:t>A facility established to encourage the maximum collocation and coordination of services for older individuals, that has been designated in Area Plans for comprehensive service delivery (Source: OAA)</w:t>
            </w:r>
          </w:p>
          <w:p w:rsidR="00A67A28" w:rsidRDefault="00A67A28" w:rsidP="00A67A28">
            <w:pPr>
              <w:spacing w:after="0" w:line="240" w:lineRule="auto"/>
            </w:pPr>
          </w:p>
          <w:p w:rsidR="00A67A28" w:rsidRPr="001E2345" w:rsidRDefault="00A67A28" w:rsidP="00A67A28">
            <w:pPr>
              <w:spacing w:after="0" w:line="240" w:lineRule="auto"/>
              <w:rPr>
                <w:rFonts w:eastAsia="Times New Roman" w:cs="Times New Roman"/>
                <w:color w:val="000000"/>
                <w:sz w:val="20"/>
                <w:szCs w:val="20"/>
              </w:rPr>
            </w:pPr>
          </w:p>
        </w:tc>
      </w:tr>
      <w:tr w:rsidR="00E854C0" w:rsidRPr="00F817A4" w:rsidTr="002D5F6B">
        <w:trPr>
          <w:trHeight w:hRule="exact" w:val="6510"/>
        </w:trPr>
        <w:tc>
          <w:tcPr>
            <w:tcW w:w="3438" w:type="dxa"/>
            <w:shd w:val="clear" w:color="auto" w:fill="auto"/>
            <w:noWrap/>
          </w:tcPr>
          <w:p w:rsidR="00E854C0" w:rsidRDefault="00E854C0" w:rsidP="00A30ED0">
            <w:pPr>
              <w:rPr>
                <w:rFonts w:ascii="Calibri" w:hAnsi="Calibri"/>
                <w:color w:val="000000"/>
              </w:rPr>
            </w:pPr>
            <w:r>
              <w:rPr>
                <w:rFonts w:ascii="Calibri" w:hAnsi="Calibri"/>
                <w:color w:val="000000"/>
              </w:rPr>
              <w:t>Self-Direction</w:t>
            </w:r>
          </w:p>
        </w:tc>
        <w:tc>
          <w:tcPr>
            <w:tcW w:w="6840" w:type="dxa"/>
            <w:shd w:val="clear" w:color="auto" w:fill="auto"/>
            <w:noWrap/>
          </w:tcPr>
          <w:p w:rsidR="00E854C0" w:rsidRPr="001E2345" w:rsidRDefault="00A67A28" w:rsidP="00800365">
            <w:pPr>
              <w:spacing w:after="0" w:line="240" w:lineRule="auto"/>
              <w:rPr>
                <w:rFonts w:eastAsia="Times New Roman" w:cs="Times New Roman"/>
                <w:color w:val="000000"/>
                <w:sz w:val="20"/>
                <w:szCs w:val="20"/>
              </w:rPr>
            </w:pPr>
            <w:r>
              <w:t>An approach to providing services (including programs, benefits, supports, and technology) under the OAA intended to assist an individual with activities of daily living, in which— (A) such services (including the amount, duration, scope, provider, and location of such services) are planned, budgeted, and purchased under the direction and control of such individual; (B) such individual is provided with such information and assistance as are necessary and appropriate to enable such individual to make informed decisions about the individual’s care options; (C) the needs, capabilities, and preferences of such individual with respect to such services, and such individual’s ability to direct and control the individual’s receipt of such services, are assessed by the area agency on aging (or other agency designated by the area agency on aging) involved; (D) based on the assessment made under subparagraph (C), the area agency on aging (or other agency designated by the area agency on aging) develops together with such individual and the individual’s family, caregiver or legal representative— (</w:t>
            </w:r>
            <w:proofErr w:type="spellStart"/>
            <w:r>
              <w:t>i</w:t>
            </w:r>
            <w:proofErr w:type="spellEnd"/>
            <w:r>
              <w:t>) a plan of services for such individual that specifies which services such individual will be responsible for directing; (ii) a determination of the role of family members (and others whose participation is sought by such individual) in providing services under such plan; and (iii) a budget for such services; and (E) the area agency on aging or State agency provides for oversight of such individual’s self-directed receipt of services, including steps to ensure the quality of services provided and the appropr</w:t>
            </w:r>
            <w:r w:rsidR="00800365">
              <w:t>iate use of funds under the OAA</w:t>
            </w:r>
            <w:r>
              <w:t>.</w:t>
            </w:r>
            <w:r w:rsidR="00800365">
              <w:t xml:space="preserve"> (Source: OAA)</w:t>
            </w:r>
          </w:p>
        </w:tc>
      </w:tr>
      <w:tr w:rsidR="00E854C0" w:rsidRPr="00F817A4" w:rsidTr="002D5F6B">
        <w:trPr>
          <w:trHeight w:hRule="exact" w:val="804"/>
        </w:trPr>
        <w:tc>
          <w:tcPr>
            <w:tcW w:w="3438" w:type="dxa"/>
            <w:shd w:val="clear" w:color="auto" w:fill="auto"/>
            <w:noWrap/>
          </w:tcPr>
          <w:p w:rsidR="00E854C0" w:rsidRPr="003B2855" w:rsidRDefault="000B2350" w:rsidP="00A30ED0">
            <w:pPr>
              <w:rPr>
                <w:rFonts w:ascii="Calibri" w:hAnsi="Calibri"/>
                <w:color w:val="000000"/>
              </w:rPr>
            </w:pPr>
            <w:r w:rsidRPr="003B2855">
              <w:rPr>
                <w:rFonts w:ascii="Calibri" w:hAnsi="Calibri"/>
                <w:color w:val="000000"/>
              </w:rPr>
              <w:t xml:space="preserve">Respite </w:t>
            </w:r>
            <w:r w:rsidR="00E854C0" w:rsidRPr="003B2855">
              <w:rPr>
                <w:rFonts w:ascii="Calibri" w:hAnsi="Calibri"/>
                <w:color w:val="000000"/>
              </w:rPr>
              <w:t>Voucher</w:t>
            </w:r>
          </w:p>
        </w:tc>
        <w:tc>
          <w:tcPr>
            <w:tcW w:w="6840" w:type="dxa"/>
            <w:shd w:val="clear" w:color="auto" w:fill="auto"/>
            <w:noWrap/>
          </w:tcPr>
          <w:p w:rsidR="003B2855" w:rsidRPr="001E2345" w:rsidRDefault="00F842EF" w:rsidP="003B2855">
            <w:pPr>
              <w:spacing w:after="0" w:line="240" w:lineRule="auto"/>
              <w:rPr>
                <w:rFonts w:eastAsia="Times New Roman" w:cs="Times New Roman"/>
                <w:color w:val="000000"/>
                <w:sz w:val="20"/>
                <w:szCs w:val="20"/>
              </w:rPr>
            </w:pPr>
            <w:r w:rsidRPr="003B2855">
              <w:rPr>
                <w:rFonts w:eastAsia="Times New Roman" w:cs="Times New Roman"/>
                <w:color w:val="000000"/>
                <w:sz w:val="20"/>
                <w:szCs w:val="20"/>
              </w:rPr>
              <w:t xml:space="preserve">A payment mechanism </w:t>
            </w:r>
            <w:r w:rsidR="003B2855" w:rsidRPr="003B2855">
              <w:rPr>
                <w:rFonts w:eastAsia="Times New Roman" w:cs="Times New Roman"/>
                <w:color w:val="000000"/>
                <w:sz w:val="20"/>
                <w:szCs w:val="20"/>
              </w:rPr>
              <w:t>for caregiver respite services.  A voucher is a document that shows respite services have been bought or respite services have been rendered, and authorizes payment.</w:t>
            </w:r>
          </w:p>
        </w:tc>
      </w:tr>
      <w:tr w:rsidR="00E854C0" w:rsidRPr="00F817A4" w:rsidTr="002D5F6B">
        <w:trPr>
          <w:trHeight w:hRule="exact" w:val="1506"/>
        </w:trPr>
        <w:tc>
          <w:tcPr>
            <w:tcW w:w="3438" w:type="dxa"/>
            <w:shd w:val="clear" w:color="auto" w:fill="auto"/>
            <w:noWrap/>
          </w:tcPr>
          <w:p w:rsidR="00E854C0" w:rsidRDefault="00A30ED0" w:rsidP="00A30ED0">
            <w:pPr>
              <w:rPr>
                <w:rFonts w:ascii="Calibri" w:hAnsi="Calibri"/>
                <w:color w:val="000000"/>
              </w:rPr>
            </w:pPr>
            <w:r>
              <w:rPr>
                <w:rFonts w:ascii="Calibri" w:hAnsi="Calibri"/>
                <w:color w:val="000000"/>
              </w:rPr>
              <w:t>Title VII-3 Expenditures</w:t>
            </w:r>
          </w:p>
        </w:tc>
        <w:tc>
          <w:tcPr>
            <w:tcW w:w="6840" w:type="dxa"/>
            <w:shd w:val="clear" w:color="auto" w:fill="auto"/>
            <w:noWrap/>
          </w:tcPr>
          <w:p w:rsidR="000B2350" w:rsidRPr="000B2350" w:rsidRDefault="000B2350" w:rsidP="000B235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Total o</w:t>
            </w:r>
            <w:r w:rsidR="00800365">
              <w:rPr>
                <w:rFonts w:ascii="Calibri" w:eastAsia="Times New Roman" w:hAnsi="Calibri" w:cs="Times New Roman"/>
                <w:color w:val="000000"/>
                <w:sz w:val="20"/>
                <w:szCs w:val="20"/>
              </w:rPr>
              <w:t xml:space="preserve">utlays or </w:t>
            </w:r>
            <w:r w:rsidR="00800365" w:rsidRPr="001622B1">
              <w:rPr>
                <w:rFonts w:ascii="Calibri" w:eastAsia="Times New Roman" w:hAnsi="Calibri" w:cs="Times New Roman"/>
                <w:color w:val="000000"/>
                <w:sz w:val="20"/>
                <w:szCs w:val="20"/>
              </w:rPr>
              <w:t xml:space="preserve">payments made using </w:t>
            </w:r>
            <w:r w:rsidR="00800365">
              <w:rPr>
                <w:rFonts w:ascii="Calibri" w:eastAsia="Times New Roman" w:hAnsi="Calibri" w:cs="Times New Roman"/>
                <w:color w:val="000000"/>
                <w:sz w:val="20"/>
                <w:szCs w:val="20"/>
              </w:rPr>
              <w:t xml:space="preserve">Title </w:t>
            </w:r>
            <w:r w:rsidR="0003030E">
              <w:rPr>
                <w:rFonts w:ascii="Calibri" w:eastAsia="Times New Roman" w:hAnsi="Calibri" w:cs="Times New Roman"/>
                <w:color w:val="000000"/>
                <w:sz w:val="20"/>
                <w:szCs w:val="20"/>
              </w:rPr>
              <w:t xml:space="preserve">VII, Chapter 3 </w:t>
            </w:r>
            <w:r w:rsidR="00800365" w:rsidRPr="001622B1">
              <w:rPr>
                <w:rFonts w:ascii="Calibri" w:eastAsia="Times New Roman" w:hAnsi="Calibri" w:cs="Times New Roman"/>
                <w:color w:val="000000"/>
                <w:sz w:val="20"/>
                <w:szCs w:val="20"/>
              </w:rPr>
              <w:t xml:space="preserve">OAA federal funds to </w:t>
            </w:r>
            <w:r>
              <w:t>carry out, through the programs described in subsection 721 (a), activities to develop, strengthen, and carry out programs for the prevention, detection, assessment, and treatment of, intervention in, investigation of, and response to elder abuse, neglect, and exploitation. (Source: OAA)</w:t>
            </w:r>
          </w:p>
        </w:tc>
      </w:tr>
      <w:tr w:rsidR="00A30ED0" w:rsidRPr="00F817A4" w:rsidTr="002D5F6B">
        <w:trPr>
          <w:trHeight w:hRule="exact" w:val="1434"/>
        </w:trPr>
        <w:tc>
          <w:tcPr>
            <w:tcW w:w="3438" w:type="dxa"/>
            <w:shd w:val="clear" w:color="auto" w:fill="auto"/>
            <w:noWrap/>
          </w:tcPr>
          <w:p w:rsidR="00A30ED0" w:rsidRPr="006E4A26" w:rsidRDefault="00A30ED0" w:rsidP="00A30ED0">
            <w:pPr>
              <w:pStyle w:val="DataElementTableBody"/>
            </w:pPr>
            <w:r w:rsidRPr="006E4A26">
              <w:t xml:space="preserve">Title VII </w:t>
            </w:r>
            <w:proofErr w:type="spellStart"/>
            <w:r w:rsidRPr="006E4A26">
              <w:t>Ch</w:t>
            </w:r>
            <w:proofErr w:type="spellEnd"/>
            <w:r w:rsidRPr="006E4A26">
              <w:t xml:space="preserve"> 3 Funds expended by SUA</w:t>
            </w:r>
          </w:p>
        </w:tc>
        <w:tc>
          <w:tcPr>
            <w:tcW w:w="6840" w:type="dxa"/>
            <w:shd w:val="clear" w:color="auto" w:fill="auto"/>
            <w:noWrap/>
          </w:tcPr>
          <w:p w:rsidR="00A30ED0" w:rsidRPr="001E2345" w:rsidRDefault="00987F18" w:rsidP="00A30ED0">
            <w:pPr>
              <w:spacing w:after="0" w:line="240" w:lineRule="auto"/>
              <w:rPr>
                <w:rFonts w:eastAsia="Times New Roman" w:cs="Times New Roman"/>
                <w:color w:val="000000"/>
                <w:sz w:val="20"/>
                <w:szCs w:val="20"/>
              </w:rPr>
            </w:pPr>
            <w:r>
              <w:rPr>
                <w:rFonts w:ascii="Calibri" w:eastAsia="Times New Roman" w:hAnsi="Calibri" w:cs="Times New Roman"/>
                <w:color w:val="000000"/>
                <w:sz w:val="20"/>
                <w:szCs w:val="20"/>
              </w:rPr>
              <w:t>O</w:t>
            </w:r>
            <w:r w:rsidR="000B2350">
              <w:rPr>
                <w:rFonts w:ascii="Calibri" w:eastAsia="Times New Roman" w:hAnsi="Calibri" w:cs="Times New Roman"/>
                <w:color w:val="000000"/>
                <w:sz w:val="20"/>
                <w:szCs w:val="20"/>
              </w:rPr>
              <w:t xml:space="preserve">utlays or </w:t>
            </w:r>
            <w:r w:rsidR="000B2350" w:rsidRPr="001622B1">
              <w:rPr>
                <w:rFonts w:ascii="Calibri" w:eastAsia="Times New Roman" w:hAnsi="Calibri" w:cs="Times New Roman"/>
                <w:color w:val="000000"/>
                <w:sz w:val="20"/>
                <w:szCs w:val="20"/>
              </w:rPr>
              <w:t>payments made</w:t>
            </w:r>
            <w:r w:rsidR="000B2350">
              <w:rPr>
                <w:rFonts w:ascii="Calibri" w:eastAsia="Times New Roman" w:hAnsi="Calibri" w:cs="Times New Roman"/>
                <w:color w:val="000000"/>
                <w:sz w:val="20"/>
                <w:szCs w:val="20"/>
              </w:rPr>
              <w:t xml:space="preserve"> by SUAs using Title VII, Chapter 3 </w:t>
            </w:r>
            <w:r w:rsidR="000B2350" w:rsidRPr="001622B1">
              <w:rPr>
                <w:rFonts w:ascii="Calibri" w:eastAsia="Times New Roman" w:hAnsi="Calibri" w:cs="Times New Roman"/>
                <w:color w:val="000000"/>
                <w:sz w:val="20"/>
                <w:szCs w:val="20"/>
              </w:rPr>
              <w:t xml:space="preserve">OAA federal funds to </w:t>
            </w:r>
            <w:r w:rsidR="000B2350">
              <w:t>carry out, through the programs described in subsection 721 (a), activities to develop, strengthen, and carry out programs for the prevention, detection, assessment, and treatment of, intervention in, investigation of, and response to elder abuse, neglect, and exploitation.</w:t>
            </w:r>
          </w:p>
        </w:tc>
      </w:tr>
      <w:tr w:rsidR="00A30ED0" w:rsidRPr="00F817A4" w:rsidTr="002D5F6B">
        <w:trPr>
          <w:trHeight w:hRule="exact" w:val="1434"/>
        </w:trPr>
        <w:tc>
          <w:tcPr>
            <w:tcW w:w="3438" w:type="dxa"/>
            <w:shd w:val="clear" w:color="auto" w:fill="auto"/>
            <w:noWrap/>
          </w:tcPr>
          <w:p w:rsidR="00A30ED0" w:rsidRPr="006E4A26" w:rsidRDefault="00A30ED0" w:rsidP="00A30ED0">
            <w:pPr>
              <w:pStyle w:val="DataElementTableBody"/>
            </w:pPr>
            <w:r w:rsidRPr="006E4A26">
              <w:t xml:space="preserve">Title VII </w:t>
            </w:r>
            <w:proofErr w:type="spellStart"/>
            <w:r w:rsidRPr="006E4A26">
              <w:t>Ch</w:t>
            </w:r>
            <w:proofErr w:type="spellEnd"/>
            <w:r w:rsidRPr="006E4A26">
              <w:t xml:space="preserve"> 3 funds expended by AAA</w:t>
            </w:r>
          </w:p>
        </w:tc>
        <w:tc>
          <w:tcPr>
            <w:tcW w:w="6840" w:type="dxa"/>
            <w:shd w:val="clear" w:color="auto" w:fill="auto"/>
            <w:noWrap/>
          </w:tcPr>
          <w:p w:rsidR="00A30ED0" w:rsidRPr="001E2345" w:rsidRDefault="00987F18" w:rsidP="000B2350">
            <w:pPr>
              <w:spacing w:after="0" w:line="240" w:lineRule="auto"/>
              <w:rPr>
                <w:rFonts w:eastAsia="Times New Roman" w:cs="Times New Roman"/>
                <w:color w:val="000000"/>
                <w:sz w:val="20"/>
                <w:szCs w:val="20"/>
              </w:rPr>
            </w:pPr>
            <w:r>
              <w:rPr>
                <w:rFonts w:ascii="Calibri" w:eastAsia="Times New Roman" w:hAnsi="Calibri" w:cs="Times New Roman"/>
                <w:color w:val="000000"/>
                <w:sz w:val="20"/>
                <w:szCs w:val="20"/>
              </w:rPr>
              <w:t>O</w:t>
            </w:r>
            <w:r w:rsidR="000B2350">
              <w:rPr>
                <w:rFonts w:ascii="Calibri" w:eastAsia="Times New Roman" w:hAnsi="Calibri" w:cs="Times New Roman"/>
                <w:color w:val="000000"/>
                <w:sz w:val="20"/>
                <w:szCs w:val="20"/>
              </w:rPr>
              <w:t xml:space="preserve">utlays or </w:t>
            </w:r>
            <w:r w:rsidR="000B2350" w:rsidRPr="001622B1">
              <w:rPr>
                <w:rFonts w:ascii="Calibri" w:eastAsia="Times New Roman" w:hAnsi="Calibri" w:cs="Times New Roman"/>
                <w:color w:val="000000"/>
                <w:sz w:val="20"/>
                <w:szCs w:val="20"/>
              </w:rPr>
              <w:t>payments made</w:t>
            </w:r>
            <w:r w:rsidR="000B2350">
              <w:rPr>
                <w:rFonts w:ascii="Calibri" w:eastAsia="Times New Roman" w:hAnsi="Calibri" w:cs="Times New Roman"/>
                <w:color w:val="000000"/>
                <w:sz w:val="20"/>
                <w:szCs w:val="20"/>
              </w:rPr>
              <w:t xml:space="preserve"> by AAAs using Title VII, Chapter 3 </w:t>
            </w:r>
            <w:r w:rsidR="000B2350" w:rsidRPr="001622B1">
              <w:rPr>
                <w:rFonts w:ascii="Calibri" w:eastAsia="Times New Roman" w:hAnsi="Calibri" w:cs="Times New Roman"/>
                <w:color w:val="000000"/>
                <w:sz w:val="20"/>
                <w:szCs w:val="20"/>
              </w:rPr>
              <w:t xml:space="preserve">OAA federal funds to </w:t>
            </w:r>
            <w:r w:rsidR="000B2350">
              <w:t>carry out, through the programs described in subsection 721 (a), activities to develop, strengthen, and carry out programs for the prevention, detection, assessment, and treatment of, intervention in, investigation of, and response to elder abuse, neglect, and exploitation.</w:t>
            </w:r>
          </w:p>
        </w:tc>
      </w:tr>
      <w:tr w:rsidR="00A30ED0" w:rsidRPr="00F817A4" w:rsidTr="002D5F6B">
        <w:trPr>
          <w:trHeight w:hRule="exact" w:val="1614"/>
        </w:trPr>
        <w:tc>
          <w:tcPr>
            <w:tcW w:w="3438" w:type="dxa"/>
            <w:shd w:val="clear" w:color="auto" w:fill="auto"/>
            <w:noWrap/>
          </w:tcPr>
          <w:p w:rsidR="00A30ED0" w:rsidRPr="006E4A26" w:rsidRDefault="00A30ED0" w:rsidP="00A30ED0">
            <w:pPr>
              <w:pStyle w:val="DataElementTableBody"/>
            </w:pPr>
            <w:r w:rsidRPr="006E4A26">
              <w:t xml:space="preserve">Title VII </w:t>
            </w:r>
            <w:proofErr w:type="spellStart"/>
            <w:r w:rsidRPr="006E4A26">
              <w:t>Ch</w:t>
            </w:r>
            <w:proofErr w:type="spellEnd"/>
            <w:r w:rsidRPr="006E4A26">
              <w:t xml:space="preserve"> 3 funds expended by APS</w:t>
            </w:r>
          </w:p>
        </w:tc>
        <w:tc>
          <w:tcPr>
            <w:tcW w:w="6840" w:type="dxa"/>
            <w:shd w:val="clear" w:color="auto" w:fill="auto"/>
            <w:noWrap/>
          </w:tcPr>
          <w:p w:rsidR="00A30ED0" w:rsidRPr="001E2345" w:rsidRDefault="00987F18" w:rsidP="000B2350">
            <w:pPr>
              <w:spacing w:after="0" w:line="240" w:lineRule="auto"/>
              <w:rPr>
                <w:rFonts w:eastAsia="Times New Roman" w:cs="Times New Roman"/>
                <w:color w:val="000000"/>
                <w:sz w:val="20"/>
                <w:szCs w:val="20"/>
              </w:rPr>
            </w:pPr>
            <w:r>
              <w:rPr>
                <w:rFonts w:ascii="Calibri" w:eastAsia="Times New Roman" w:hAnsi="Calibri" w:cs="Times New Roman"/>
                <w:color w:val="000000"/>
                <w:sz w:val="20"/>
                <w:szCs w:val="20"/>
              </w:rPr>
              <w:t>O</w:t>
            </w:r>
            <w:r w:rsidR="000B2350">
              <w:rPr>
                <w:rFonts w:ascii="Calibri" w:eastAsia="Times New Roman" w:hAnsi="Calibri" w:cs="Times New Roman"/>
                <w:color w:val="000000"/>
                <w:sz w:val="20"/>
                <w:szCs w:val="20"/>
              </w:rPr>
              <w:t xml:space="preserve">utlays or </w:t>
            </w:r>
            <w:r w:rsidR="000B2350" w:rsidRPr="001622B1">
              <w:rPr>
                <w:rFonts w:ascii="Calibri" w:eastAsia="Times New Roman" w:hAnsi="Calibri" w:cs="Times New Roman"/>
                <w:color w:val="000000"/>
                <w:sz w:val="20"/>
                <w:szCs w:val="20"/>
              </w:rPr>
              <w:t>payments made</w:t>
            </w:r>
            <w:r w:rsidR="000B2350">
              <w:rPr>
                <w:rFonts w:ascii="Calibri" w:eastAsia="Times New Roman" w:hAnsi="Calibri" w:cs="Times New Roman"/>
                <w:color w:val="000000"/>
                <w:sz w:val="20"/>
                <w:szCs w:val="20"/>
              </w:rPr>
              <w:t xml:space="preserve"> by Adult Protective Services using Title VII, Chapter 3 </w:t>
            </w:r>
            <w:r w:rsidR="000B2350" w:rsidRPr="001622B1">
              <w:rPr>
                <w:rFonts w:ascii="Calibri" w:eastAsia="Times New Roman" w:hAnsi="Calibri" w:cs="Times New Roman"/>
                <w:color w:val="000000"/>
                <w:sz w:val="20"/>
                <w:szCs w:val="20"/>
              </w:rPr>
              <w:t xml:space="preserve">OAA federal funds to </w:t>
            </w:r>
            <w:r w:rsidR="000B2350">
              <w:t>carry out, through the programs described in subsection 721 (a), activities to develop, strengthen, and carry out programs for the prevention, detection, assessment, and treatment of, intervention in, investigation of, and response to elder abuse, neglect, and exploitation.</w:t>
            </w:r>
          </w:p>
        </w:tc>
      </w:tr>
      <w:tr w:rsidR="00A30ED0" w:rsidRPr="00F817A4" w:rsidTr="002D5F6B">
        <w:trPr>
          <w:trHeight w:hRule="exact" w:val="1650"/>
        </w:trPr>
        <w:tc>
          <w:tcPr>
            <w:tcW w:w="3438" w:type="dxa"/>
            <w:shd w:val="clear" w:color="auto" w:fill="auto"/>
            <w:noWrap/>
          </w:tcPr>
          <w:p w:rsidR="00A30ED0" w:rsidRPr="006E4A26" w:rsidRDefault="00A30ED0" w:rsidP="00A30ED0">
            <w:pPr>
              <w:pStyle w:val="DataElementTableBody"/>
            </w:pPr>
            <w:r w:rsidRPr="006E4A26">
              <w:t xml:space="preserve">Title VII </w:t>
            </w:r>
            <w:proofErr w:type="spellStart"/>
            <w:r w:rsidRPr="006E4A26">
              <w:t>Ch</w:t>
            </w:r>
            <w:proofErr w:type="spellEnd"/>
            <w:r w:rsidRPr="006E4A26">
              <w:t xml:space="preserve"> 3 funds expended by other Entities</w:t>
            </w:r>
          </w:p>
        </w:tc>
        <w:tc>
          <w:tcPr>
            <w:tcW w:w="6840" w:type="dxa"/>
            <w:shd w:val="clear" w:color="auto" w:fill="auto"/>
            <w:noWrap/>
          </w:tcPr>
          <w:p w:rsidR="00A30ED0" w:rsidRPr="001E2345" w:rsidRDefault="00987F18" w:rsidP="000B2350">
            <w:pPr>
              <w:spacing w:after="0" w:line="240" w:lineRule="auto"/>
              <w:rPr>
                <w:rFonts w:eastAsia="Times New Roman" w:cs="Times New Roman"/>
                <w:color w:val="000000"/>
                <w:sz w:val="20"/>
                <w:szCs w:val="20"/>
              </w:rPr>
            </w:pPr>
            <w:r>
              <w:rPr>
                <w:rFonts w:ascii="Calibri" w:eastAsia="Times New Roman" w:hAnsi="Calibri" w:cs="Times New Roman"/>
                <w:color w:val="000000"/>
                <w:sz w:val="20"/>
                <w:szCs w:val="20"/>
              </w:rPr>
              <w:t>O</w:t>
            </w:r>
            <w:r w:rsidR="000B2350">
              <w:rPr>
                <w:rFonts w:ascii="Calibri" w:eastAsia="Times New Roman" w:hAnsi="Calibri" w:cs="Times New Roman"/>
                <w:color w:val="000000"/>
                <w:sz w:val="20"/>
                <w:szCs w:val="20"/>
              </w:rPr>
              <w:t xml:space="preserve">utlays or </w:t>
            </w:r>
            <w:r w:rsidR="000B2350" w:rsidRPr="001622B1">
              <w:rPr>
                <w:rFonts w:ascii="Calibri" w:eastAsia="Times New Roman" w:hAnsi="Calibri" w:cs="Times New Roman"/>
                <w:color w:val="000000"/>
                <w:sz w:val="20"/>
                <w:szCs w:val="20"/>
              </w:rPr>
              <w:t>payments made</w:t>
            </w:r>
            <w:r w:rsidR="000B2350">
              <w:rPr>
                <w:rFonts w:ascii="Calibri" w:eastAsia="Times New Roman" w:hAnsi="Calibri" w:cs="Times New Roman"/>
                <w:color w:val="000000"/>
                <w:sz w:val="20"/>
                <w:szCs w:val="20"/>
              </w:rPr>
              <w:t xml:space="preserve"> by entities other than SUAs, AAA, or APS using Title VII, Chapter 3 </w:t>
            </w:r>
            <w:r w:rsidR="000B2350" w:rsidRPr="001622B1">
              <w:rPr>
                <w:rFonts w:ascii="Calibri" w:eastAsia="Times New Roman" w:hAnsi="Calibri" w:cs="Times New Roman"/>
                <w:color w:val="000000"/>
                <w:sz w:val="20"/>
                <w:szCs w:val="20"/>
              </w:rPr>
              <w:t xml:space="preserve">OAA federal funds to </w:t>
            </w:r>
            <w:r w:rsidR="000B2350">
              <w:t>carry out, through the programs described in subsection 721 (a), activities to develop, strengthen, and carry out programs for the prevention, detection, assessment, and treatment of, intervention in, investigation of, and response to elder abuse, neglect, and exploitation.</w:t>
            </w:r>
          </w:p>
        </w:tc>
      </w:tr>
      <w:tr w:rsidR="00A30ED0" w:rsidRPr="00F817A4" w:rsidTr="002D5F6B">
        <w:trPr>
          <w:trHeight w:hRule="exact" w:val="1524"/>
        </w:trPr>
        <w:tc>
          <w:tcPr>
            <w:tcW w:w="3438" w:type="dxa"/>
            <w:shd w:val="clear" w:color="auto" w:fill="auto"/>
            <w:noWrap/>
          </w:tcPr>
          <w:p w:rsidR="00A30ED0" w:rsidRDefault="00A30ED0" w:rsidP="00A30ED0">
            <w:pPr>
              <w:rPr>
                <w:rFonts w:ascii="Calibri" w:hAnsi="Calibri"/>
                <w:color w:val="000000"/>
              </w:rPr>
            </w:pPr>
            <w:r>
              <w:rPr>
                <w:rFonts w:ascii="Calibri" w:hAnsi="Calibri"/>
                <w:color w:val="000000"/>
              </w:rPr>
              <w:t>Case</w:t>
            </w:r>
          </w:p>
        </w:tc>
        <w:tc>
          <w:tcPr>
            <w:tcW w:w="6840" w:type="dxa"/>
            <w:shd w:val="clear" w:color="auto" w:fill="auto"/>
            <w:noWrap/>
          </w:tcPr>
          <w:p w:rsidR="00A30ED0" w:rsidRPr="008A71E1" w:rsidRDefault="00A30ED0" w:rsidP="00A30ED0">
            <w:pPr>
              <w:spacing w:after="0" w:line="240" w:lineRule="auto"/>
              <w:rPr>
                <w:rFonts w:ascii="Calibri" w:eastAsia="Times New Roman" w:hAnsi="Calibri" w:cs="Times New Roman"/>
                <w:color w:val="000000"/>
                <w:sz w:val="20"/>
                <w:szCs w:val="20"/>
              </w:rPr>
            </w:pPr>
            <w:r w:rsidRPr="009E11AD">
              <w:rPr>
                <w:rFonts w:ascii="Calibri" w:eastAsia="Times New Roman" w:hAnsi="Calibri" w:cs="Times New Roman"/>
                <w:color w:val="000000"/>
                <w:sz w:val="20"/>
                <w:szCs w:val="20"/>
              </w:rPr>
              <w:t>A legal assistance matter provided to an eligible client by a legal assistance provider.</w:t>
            </w:r>
            <w:r w:rsidR="009E11AD" w:rsidRPr="009E11AD">
              <w:rPr>
                <w:rFonts w:ascii="Calibri" w:eastAsia="Times New Roman" w:hAnsi="Calibri" w:cs="Times New Roman"/>
                <w:color w:val="000000"/>
                <w:sz w:val="20"/>
                <w:szCs w:val="20"/>
              </w:rPr>
              <w:t xml:space="preserve">  A case encompasses one legal matter.  Accordingly a client may have more than one case simultaneously and/or during a calendar year.  When matters in litigation move from one forum to another, such as upon filing of an appeal by the client or by an adversary or another litigant, a new case is to be opened.</w:t>
            </w:r>
          </w:p>
        </w:tc>
      </w:tr>
      <w:tr w:rsidR="00A30ED0" w:rsidRPr="00F817A4" w:rsidTr="002D5F6B">
        <w:trPr>
          <w:trHeight w:hRule="exact" w:val="1803"/>
        </w:trPr>
        <w:tc>
          <w:tcPr>
            <w:tcW w:w="3438" w:type="dxa"/>
            <w:shd w:val="clear" w:color="auto" w:fill="auto"/>
            <w:noWrap/>
          </w:tcPr>
          <w:p w:rsidR="00A30ED0" w:rsidRDefault="00A30ED0" w:rsidP="00A30ED0">
            <w:pPr>
              <w:rPr>
                <w:rFonts w:ascii="Calibri" w:hAnsi="Calibri"/>
                <w:color w:val="000000"/>
              </w:rPr>
            </w:pPr>
            <w:r>
              <w:rPr>
                <w:rFonts w:ascii="Calibri" w:hAnsi="Calibri"/>
                <w:color w:val="000000"/>
              </w:rPr>
              <w:t>Open Case</w:t>
            </w:r>
          </w:p>
        </w:tc>
        <w:tc>
          <w:tcPr>
            <w:tcW w:w="6840" w:type="dxa"/>
            <w:shd w:val="clear" w:color="auto" w:fill="auto"/>
            <w:noWrap/>
          </w:tcPr>
          <w:p w:rsidR="00A30ED0" w:rsidRPr="001E2345" w:rsidRDefault="009E11AD" w:rsidP="00A30ED0">
            <w:pPr>
              <w:spacing w:after="0" w:line="240" w:lineRule="auto"/>
              <w:rPr>
                <w:rFonts w:eastAsia="Times New Roman" w:cs="Times New Roman"/>
                <w:color w:val="000000"/>
                <w:sz w:val="20"/>
                <w:szCs w:val="20"/>
              </w:rPr>
            </w:pPr>
            <w:r w:rsidRPr="009E11AD">
              <w:rPr>
                <w:rFonts w:eastAsia="Times New Roman" w:cs="Times New Roman"/>
                <w:color w:val="000000"/>
                <w:sz w:val="20"/>
                <w:szCs w:val="20"/>
              </w:rPr>
              <w:t>A case is open upon acceptance by a legal assistance provider and notification of the acceptance to the client. Notification of acceptance should be done in a manner appropriate to the case and in accordance with state practice rules and program procedures.  For example, a Hotline or call center</w:t>
            </w:r>
            <w:r w:rsidR="005D6AE8">
              <w:rPr>
                <w:rFonts w:eastAsia="Times New Roman" w:cs="Times New Roman"/>
                <w:color w:val="000000"/>
                <w:sz w:val="20"/>
                <w:szCs w:val="20"/>
              </w:rPr>
              <w:t xml:space="preserve"> case would likely be accepted </w:t>
            </w:r>
            <w:r w:rsidRPr="009E11AD">
              <w:rPr>
                <w:rFonts w:eastAsia="Times New Roman" w:cs="Times New Roman"/>
                <w:color w:val="000000"/>
                <w:sz w:val="20"/>
                <w:szCs w:val="20"/>
              </w:rPr>
              <w:t>verbally before advice or limited representation is provided. A case is deemed to be open as of the date of the client’s initial contact with the III-B legal assistance provider, regardless of the date data entry is completed.</w:t>
            </w:r>
          </w:p>
        </w:tc>
      </w:tr>
      <w:tr w:rsidR="00A30ED0" w:rsidRPr="00F817A4" w:rsidTr="002D5F6B">
        <w:trPr>
          <w:trHeight w:hRule="exact" w:val="1785"/>
        </w:trPr>
        <w:tc>
          <w:tcPr>
            <w:tcW w:w="3438" w:type="dxa"/>
            <w:shd w:val="clear" w:color="auto" w:fill="auto"/>
            <w:noWrap/>
          </w:tcPr>
          <w:p w:rsidR="00A30ED0" w:rsidRDefault="00A30ED0" w:rsidP="00A30ED0">
            <w:pPr>
              <w:rPr>
                <w:rFonts w:ascii="Calibri" w:hAnsi="Calibri"/>
                <w:color w:val="000000"/>
              </w:rPr>
            </w:pPr>
            <w:r>
              <w:rPr>
                <w:rFonts w:ascii="Calibri" w:hAnsi="Calibri"/>
                <w:color w:val="000000"/>
              </w:rPr>
              <w:t>Closed Case</w:t>
            </w:r>
          </w:p>
        </w:tc>
        <w:tc>
          <w:tcPr>
            <w:tcW w:w="6840" w:type="dxa"/>
            <w:shd w:val="clear" w:color="auto" w:fill="auto"/>
            <w:noWrap/>
          </w:tcPr>
          <w:p w:rsidR="00A30ED0" w:rsidRPr="001E2345" w:rsidRDefault="005D6AE8" w:rsidP="00DB3E59">
            <w:pPr>
              <w:spacing w:after="0" w:line="240" w:lineRule="auto"/>
              <w:rPr>
                <w:rFonts w:eastAsia="Times New Roman" w:cs="Times New Roman"/>
                <w:color w:val="000000"/>
                <w:sz w:val="20"/>
                <w:szCs w:val="20"/>
              </w:rPr>
            </w:pPr>
            <w:r w:rsidRPr="005D6AE8">
              <w:rPr>
                <w:rFonts w:eastAsia="Times New Roman" w:cs="Times New Roman"/>
                <w:color w:val="000000"/>
                <w:sz w:val="20"/>
                <w:szCs w:val="20"/>
              </w:rPr>
              <w:t xml:space="preserve">A legal assistance case is closed when the legal assistance provider has completed work within the scope of representation, has otherwise reached a resolution of the client’s legal issue and has, consistent with state rules, and program requirements, informed the client that the case is closed.  Cases may also be closed after a reasonable period of time during which the client has not been in touch with the III-B legal provider, notwithstanding appropriate efforts to reach the client. </w:t>
            </w:r>
          </w:p>
        </w:tc>
      </w:tr>
      <w:tr w:rsidR="00A30ED0" w:rsidRPr="00F817A4" w:rsidTr="002D5F6B">
        <w:trPr>
          <w:trHeight w:hRule="exact" w:val="1767"/>
        </w:trPr>
        <w:tc>
          <w:tcPr>
            <w:tcW w:w="3438" w:type="dxa"/>
            <w:shd w:val="clear" w:color="auto" w:fill="auto"/>
            <w:noWrap/>
          </w:tcPr>
          <w:p w:rsidR="00A30ED0" w:rsidRDefault="00A30ED0" w:rsidP="00A30ED0">
            <w:pPr>
              <w:rPr>
                <w:rFonts w:ascii="Calibri" w:hAnsi="Calibri"/>
                <w:color w:val="000000"/>
              </w:rPr>
            </w:pPr>
            <w:r>
              <w:rPr>
                <w:rFonts w:ascii="Calibri" w:hAnsi="Calibri"/>
                <w:color w:val="000000"/>
              </w:rPr>
              <w:t>Advice</w:t>
            </w:r>
          </w:p>
        </w:tc>
        <w:tc>
          <w:tcPr>
            <w:tcW w:w="6840" w:type="dxa"/>
            <w:shd w:val="clear" w:color="auto" w:fill="auto"/>
            <w:noWrap/>
          </w:tcPr>
          <w:p w:rsidR="00A30ED0" w:rsidRPr="001E2345" w:rsidRDefault="009E11AD" w:rsidP="009E11AD">
            <w:pPr>
              <w:spacing w:after="0" w:line="240" w:lineRule="auto"/>
              <w:rPr>
                <w:rFonts w:eastAsia="Times New Roman" w:cs="Times New Roman"/>
                <w:color w:val="000000"/>
                <w:sz w:val="20"/>
                <w:szCs w:val="20"/>
              </w:rPr>
            </w:pPr>
            <w:r>
              <w:rPr>
                <w:rFonts w:eastAsia="Times New Roman" w:cs="Times New Roman"/>
                <w:color w:val="000000"/>
                <w:sz w:val="20"/>
                <w:szCs w:val="20"/>
              </w:rPr>
              <w:t>A category of legal assistance case.  A</w:t>
            </w:r>
            <w:r w:rsidRPr="009E11AD">
              <w:rPr>
                <w:rFonts w:eastAsia="Times New Roman" w:cs="Times New Roman"/>
                <w:color w:val="000000"/>
                <w:sz w:val="20"/>
                <w:szCs w:val="20"/>
              </w:rPr>
              <w:t xml:space="preserve">n individualized evaluation of the facts of a client’s situation, with counseling and/or provision of information or guidance about the client’s legal circumstances, including presentation of options for responding to the circumstances presented by the client, or referral, such as from a legal hotline to a full service program or to another low-cost alternative, such as a law school clinic or Bar referral service, or to another legal resource for further assistance.  </w:t>
            </w:r>
          </w:p>
        </w:tc>
      </w:tr>
      <w:tr w:rsidR="00A30ED0" w:rsidRPr="00F817A4" w:rsidTr="002D5F6B">
        <w:trPr>
          <w:trHeight w:hRule="exact" w:val="2145"/>
        </w:trPr>
        <w:tc>
          <w:tcPr>
            <w:tcW w:w="3438" w:type="dxa"/>
            <w:shd w:val="clear" w:color="auto" w:fill="auto"/>
            <w:noWrap/>
          </w:tcPr>
          <w:p w:rsidR="00A30ED0" w:rsidRDefault="009E11AD" w:rsidP="00A30ED0">
            <w:pPr>
              <w:rPr>
                <w:rFonts w:ascii="Calibri" w:hAnsi="Calibri"/>
                <w:color w:val="000000"/>
              </w:rPr>
            </w:pPr>
            <w:r>
              <w:rPr>
                <w:rFonts w:ascii="Calibri" w:hAnsi="Calibri"/>
                <w:color w:val="000000"/>
              </w:rPr>
              <w:t>Limited Representation</w:t>
            </w:r>
          </w:p>
        </w:tc>
        <w:tc>
          <w:tcPr>
            <w:tcW w:w="6840" w:type="dxa"/>
            <w:shd w:val="clear" w:color="auto" w:fill="auto"/>
            <w:noWrap/>
          </w:tcPr>
          <w:p w:rsidR="00A30ED0" w:rsidRPr="001E2345" w:rsidRDefault="009E11AD" w:rsidP="00A30ED0">
            <w:pPr>
              <w:spacing w:after="0" w:line="240" w:lineRule="auto"/>
              <w:rPr>
                <w:rFonts w:eastAsia="Times New Roman" w:cs="Times New Roman"/>
                <w:color w:val="000000"/>
                <w:sz w:val="20"/>
                <w:szCs w:val="20"/>
              </w:rPr>
            </w:pPr>
            <w:r>
              <w:rPr>
                <w:rFonts w:eastAsia="Times New Roman" w:cs="Times New Roman"/>
                <w:color w:val="000000"/>
                <w:sz w:val="20"/>
                <w:szCs w:val="20"/>
              </w:rPr>
              <w:t>A category of legal assistance case.  B</w:t>
            </w:r>
            <w:r w:rsidRPr="009E11AD">
              <w:rPr>
                <w:rFonts w:eastAsia="Times New Roman" w:cs="Times New Roman"/>
                <w:color w:val="000000"/>
                <w:sz w:val="20"/>
                <w:szCs w:val="20"/>
              </w:rPr>
              <w:t>rief service in addition to or more extensive than advice, such as document preparation or detailed direction as to how to take legal action pro se, including preparation of legal documents for use by a pro se litigant.  Services delivered at self-help clinics or court-based advice programs could fall under advice or limited representation, and could, depending upon the intensity and time expended on the service delivered. Program protocols and procedures may further assist in determinations of whether the services provided in a case constitute advice or limited representation.</w:t>
            </w:r>
          </w:p>
        </w:tc>
      </w:tr>
      <w:tr w:rsidR="00A30ED0" w:rsidRPr="00F817A4" w:rsidTr="002D5F6B">
        <w:trPr>
          <w:trHeight w:hRule="exact" w:val="1083"/>
        </w:trPr>
        <w:tc>
          <w:tcPr>
            <w:tcW w:w="3438" w:type="dxa"/>
            <w:shd w:val="clear" w:color="auto" w:fill="auto"/>
            <w:noWrap/>
          </w:tcPr>
          <w:p w:rsidR="00A30ED0" w:rsidRDefault="00A30ED0" w:rsidP="00A30ED0">
            <w:pPr>
              <w:rPr>
                <w:rFonts w:ascii="Calibri" w:hAnsi="Calibri"/>
                <w:color w:val="000000"/>
              </w:rPr>
            </w:pPr>
            <w:r>
              <w:rPr>
                <w:rFonts w:ascii="Calibri" w:hAnsi="Calibri"/>
                <w:color w:val="000000"/>
              </w:rPr>
              <w:t>Representation</w:t>
            </w:r>
          </w:p>
        </w:tc>
        <w:tc>
          <w:tcPr>
            <w:tcW w:w="6840" w:type="dxa"/>
            <w:shd w:val="clear" w:color="auto" w:fill="auto"/>
            <w:noWrap/>
          </w:tcPr>
          <w:p w:rsidR="00A30ED0" w:rsidRPr="001E2345" w:rsidRDefault="009E11AD" w:rsidP="00A30ED0">
            <w:pPr>
              <w:spacing w:after="0" w:line="240" w:lineRule="auto"/>
              <w:rPr>
                <w:rFonts w:eastAsia="Times New Roman" w:cs="Times New Roman"/>
                <w:color w:val="000000"/>
                <w:sz w:val="20"/>
                <w:szCs w:val="20"/>
              </w:rPr>
            </w:pPr>
            <w:r>
              <w:rPr>
                <w:rFonts w:eastAsia="Times New Roman" w:cs="Times New Roman"/>
                <w:color w:val="000000"/>
                <w:sz w:val="20"/>
                <w:szCs w:val="20"/>
              </w:rPr>
              <w:t>A category of legal assistance case.  F</w:t>
            </w:r>
            <w:r w:rsidRPr="009E11AD">
              <w:rPr>
                <w:rFonts w:eastAsia="Times New Roman" w:cs="Times New Roman"/>
                <w:color w:val="000000"/>
                <w:sz w:val="20"/>
                <w:szCs w:val="20"/>
              </w:rPr>
              <w:t>ull service legal intervention including but not limited to negotiation to settle a dispute, including settlements with administrative agencies, representation in an administrative forum or in a court of law.</w:t>
            </w:r>
          </w:p>
        </w:tc>
      </w:tr>
      <w:tr w:rsidR="00A30ED0" w:rsidRPr="00F817A4" w:rsidTr="002D5F6B">
        <w:trPr>
          <w:trHeight w:hRule="exact" w:val="1380"/>
        </w:trPr>
        <w:tc>
          <w:tcPr>
            <w:tcW w:w="3438" w:type="dxa"/>
            <w:shd w:val="clear" w:color="auto" w:fill="auto"/>
            <w:noWrap/>
          </w:tcPr>
          <w:p w:rsidR="00A30ED0" w:rsidRDefault="000146F3" w:rsidP="000146F3">
            <w:pPr>
              <w:rPr>
                <w:rFonts w:ascii="Calibri" w:hAnsi="Calibri"/>
                <w:color w:val="000000"/>
              </w:rPr>
            </w:pPr>
            <w:r>
              <w:rPr>
                <w:rFonts w:ascii="Calibri" w:hAnsi="Calibri"/>
                <w:color w:val="000000"/>
              </w:rPr>
              <w:t>Case Type</w:t>
            </w:r>
          </w:p>
        </w:tc>
        <w:tc>
          <w:tcPr>
            <w:tcW w:w="6840" w:type="dxa"/>
            <w:shd w:val="clear" w:color="auto" w:fill="auto"/>
            <w:noWrap/>
          </w:tcPr>
          <w:p w:rsidR="00A30ED0" w:rsidRDefault="00DB3E59" w:rsidP="00DB3E59">
            <w:pPr>
              <w:spacing w:after="0" w:line="240" w:lineRule="auto"/>
              <w:rPr>
                <w:rFonts w:eastAsia="Times New Roman" w:cs="Times New Roman"/>
                <w:color w:val="000000"/>
                <w:sz w:val="20"/>
                <w:szCs w:val="20"/>
              </w:rPr>
            </w:pPr>
            <w:r>
              <w:rPr>
                <w:rFonts w:eastAsia="Times New Roman" w:cs="Times New Roman"/>
                <w:color w:val="000000"/>
                <w:sz w:val="20"/>
                <w:szCs w:val="20"/>
              </w:rPr>
              <w:t xml:space="preserve">The type of legal issue is determined and reported for closed cases.  </w:t>
            </w:r>
            <w:r w:rsidR="000146F3">
              <w:rPr>
                <w:rFonts w:eastAsia="Times New Roman" w:cs="Times New Roman"/>
                <w:color w:val="000000"/>
                <w:sz w:val="20"/>
                <w:szCs w:val="20"/>
              </w:rPr>
              <w:t xml:space="preserve">Case types reflect the eight types of legal issues that are to be given priority by III-B legal assistance providers.  Issues include: income, health care, long term care, housing, </w:t>
            </w:r>
            <w:r w:rsidR="008B6911">
              <w:rPr>
                <w:rFonts w:eastAsia="Times New Roman" w:cs="Times New Roman"/>
                <w:color w:val="000000"/>
                <w:sz w:val="20"/>
                <w:szCs w:val="20"/>
              </w:rPr>
              <w:t>i</w:t>
            </w:r>
            <w:r w:rsidR="008B6911">
              <w:t>ndividual rights/protective s</w:t>
            </w:r>
            <w:r w:rsidR="008B6911" w:rsidRPr="008145A7">
              <w:t>ervices/</w:t>
            </w:r>
            <w:r w:rsidR="008B6911">
              <w:t>abuse/n</w:t>
            </w:r>
            <w:r w:rsidR="008B6911" w:rsidRPr="008145A7">
              <w:t>eglect</w:t>
            </w:r>
            <w:r w:rsidR="008B6911">
              <w:t>, consumer/f</w:t>
            </w:r>
            <w:r w:rsidR="008B6911" w:rsidRPr="008145A7">
              <w:t>inance</w:t>
            </w:r>
            <w:r w:rsidR="008B6911">
              <w:t xml:space="preserve">, other.  </w:t>
            </w:r>
          </w:p>
          <w:p w:rsidR="00DB3E59" w:rsidRPr="001E2345" w:rsidRDefault="00DB3E59" w:rsidP="00DB3E59">
            <w:pPr>
              <w:spacing w:after="0" w:line="240" w:lineRule="auto"/>
              <w:ind w:left="342" w:hanging="342"/>
              <w:rPr>
                <w:rFonts w:eastAsia="Times New Roman" w:cs="Times New Roman"/>
                <w:color w:val="000000"/>
                <w:sz w:val="20"/>
                <w:szCs w:val="20"/>
              </w:rPr>
            </w:pPr>
          </w:p>
        </w:tc>
      </w:tr>
      <w:tr w:rsidR="00A30ED0" w:rsidRPr="00F817A4" w:rsidTr="002D5F6B">
        <w:trPr>
          <w:trHeight w:hRule="exact" w:val="903"/>
        </w:trPr>
        <w:tc>
          <w:tcPr>
            <w:tcW w:w="3438" w:type="dxa"/>
            <w:shd w:val="clear" w:color="auto" w:fill="auto"/>
            <w:noWrap/>
          </w:tcPr>
          <w:p w:rsidR="00A30ED0" w:rsidRDefault="00A30ED0">
            <w:r>
              <w:rPr>
                <w:rFonts w:ascii="Calibri" w:hAnsi="Calibri"/>
                <w:color w:val="000000"/>
              </w:rPr>
              <w:t>Service Name</w:t>
            </w:r>
          </w:p>
        </w:tc>
        <w:tc>
          <w:tcPr>
            <w:tcW w:w="6840" w:type="dxa"/>
            <w:shd w:val="clear" w:color="auto" w:fill="auto"/>
            <w:noWrap/>
          </w:tcPr>
          <w:p w:rsidR="00A30ED0" w:rsidRPr="001E2345" w:rsidRDefault="008B6911" w:rsidP="008B6911">
            <w:pPr>
              <w:spacing w:after="0" w:line="240" w:lineRule="auto"/>
              <w:rPr>
                <w:rFonts w:eastAsia="Times New Roman" w:cs="Times New Roman"/>
                <w:color w:val="000000"/>
                <w:sz w:val="20"/>
                <w:szCs w:val="20"/>
              </w:rPr>
            </w:pPr>
            <w:r>
              <w:rPr>
                <w:rFonts w:eastAsia="Times New Roman" w:cs="Times New Roman"/>
                <w:color w:val="000000"/>
                <w:sz w:val="20"/>
                <w:szCs w:val="20"/>
              </w:rPr>
              <w:t>A service provide using OAA funds in whole or in part that do not fall into the previously defined service categories.  An identifying title for the service used by the SUA.</w:t>
            </w:r>
          </w:p>
        </w:tc>
      </w:tr>
      <w:tr w:rsidR="00A30ED0" w:rsidRPr="00F817A4" w:rsidTr="002D5F6B">
        <w:trPr>
          <w:trHeight w:hRule="exact" w:val="543"/>
        </w:trPr>
        <w:tc>
          <w:tcPr>
            <w:tcW w:w="3438" w:type="dxa"/>
            <w:shd w:val="clear" w:color="auto" w:fill="auto"/>
            <w:noWrap/>
          </w:tcPr>
          <w:p w:rsidR="00A30ED0" w:rsidRDefault="00A30ED0" w:rsidP="00A30ED0">
            <w:pPr>
              <w:rPr>
                <w:rFonts w:ascii="Calibri" w:hAnsi="Calibri"/>
                <w:color w:val="000000"/>
              </w:rPr>
            </w:pPr>
            <w:r>
              <w:rPr>
                <w:rFonts w:ascii="Calibri" w:hAnsi="Calibri"/>
                <w:color w:val="000000"/>
              </w:rPr>
              <w:t>Service Unit Name</w:t>
            </w:r>
          </w:p>
        </w:tc>
        <w:tc>
          <w:tcPr>
            <w:tcW w:w="6840" w:type="dxa"/>
            <w:shd w:val="clear" w:color="auto" w:fill="auto"/>
            <w:noWrap/>
          </w:tcPr>
          <w:p w:rsidR="00A30ED0" w:rsidRPr="001E2345" w:rsidRDefault="008B6911" w:rsidP="008B6911">
            <w:pPr>
              <w:spacing w:after="0" w:line="240" w:lineRule="auto"/>
              <w:rPr>
                <w:rFonts w:eastAsia="Times New Roman" w:cs="Times New Roman"/>
                <w:color w:val="000000"/>
                <w:sz w:val="20"/>
                <w:szCs w:val="20"/>
              </w:rPr>
            </w:pPr>
            <w:r w:rsidRPr="008B6911">
              <w:rPr>
                <w:rFonts w:eastAsia="Times New Roman" w:cs="Times New Roman"/>
                <w:color w:val="000000"/>
                <w:sz w:val="20"/>
                <w:szCs w:val="20"/>
              </w:rPr>
              <w:t xml:space="preserve">Any discrete measurement used for billing </w:t>
            </w:r>
            <w:r>
              <w:rPr>
                <w:rFonts w:eastAsia="Times New Roman" w:cs="Times New Roman"/>
                <w:color w:val="000000"/>
                <w:sz w:val="20"/>
                <w:szCs w:val="20"/>
              </w:rPr>
              <w:t xml:space="preserve">or tracking </w:t>
            </w:r>
            <w:r w:rsidRPr="008B6911">
              <w:rPr>
                <w:rFonts w:eastAsia="Times New Roman" w:cs="Times New Roman"/>
                <w:color w:val="000000"/>
                <w:sz w:val="20"/>
                <w:szCs w:val="20"/>
              </w:rPr>
              <w:t xml:space="preserve">purposes in provision of </w:t>
            </w:r>
            <w:r>
              <w:rPr>
                <w:rFonts w:eastAsia="Times New Roman" w:cs="Times New Roman"/>
                <w:color w:val="000000"/>
                <w:sz w:val="20"/>
                <w:szCs w:val="20"/>
              </w:rPr>
              <w:t>a service</w:t>
            </w:r>
            <w:r w:rsidRPr="008B6911">
              <w:rPr>
                <w:rFonts w:eastAsia="Times New Roman" w:cs="Times New Roman"/>
                <w:color w:val="000000"/>
                <w:sz w:val="20"/>
                <w:szCs w:val="20"/>
              </w:rPr>
              <w:t>.</w:t>
            </w:r>
          </w:p>
        </w:tc>
      </w:tr>
      <w:tr w:rsidR="00A30ED0" w:rsidRPr="00F817A4" w:rsidTr="002D5F6B">
        <w:trPr>
          <w:trHeight w:hRule="exact" w:val="633"/>
        </w:trPr>
        <w:tc>
          <w:tcPr>
            <w:tcW w:w="3438" w:type="dxa"/>
            <w:shd w:val="clear" w:color="auto" w:fill="auto"/>
            <w:noWrap/>
          </w:tcPr>
          <w:p w:rsidR="00A30ED0" w:rsidRDefault="00A30ED0" w:rsidP="00A30ED0">
            <w:pPr>
              <w:rPr>
                <w:rFonts w:ascii="Calibri" w:hAnsi="Calibri"/>
                <w:color w:val="000000"/>
              </w:rPr>
            </w:pPr>
            <w:r>
              <w:rPr>
                <w:rFonts w:ascii="Calibri" w:hAnsi="Calibri"/>
                <w:color w:val="000000"/>
              </w:rPr>
              <w:t>Service Domain</w:t>
            </w:r>
          </w:p>
        </w:tc>
        <w:tc>
          <w:tcPr>
            <w:tcW w:w="6840" w:type="dxa"/>
            <w:shd w:val="clear" w:color="auto" w:fill="auto"/>
            <w:noWrap/>
          </w:tcPr>
          <w:p w:rsidR="00A30ED0" w:rsidRPr="001E2345" w:rsidRDefault="008B6911" w:rsidP="00032CAB">
            <w:pPr>
              <w:spacing w:after="0" w:line="240" w:lineRule="auto"/>
              <w:rPr>
                <w:rFonts w:eastAsia="Times New Roman" w:cs="Times New Roman"/>
                <w:color w:val="000000"/>
                <w:sz w:val="20"/>
                <w:szCs w:val="20"/>
              </w:rPr>
            </w:pPr>
            <w:r>
              <w:rPr>
                <w:rFonts w:eastAsia="Times New Roman" w:cs="Times New Roman"/>
                <w:color w:val="000000"/>
                <w:sz w:val="20"/>
                <w:szCs w:val="20"/>
              </w:rPr>
              <w:t>A category of service that describes the state defined servi</w:t>
            </w:r>
            <w:r w:rsidR="00032CAB">
              <w:rPr>
                <w:rFonts w:eastAsia="Times New Roman" w:cs="Times New Roman"/>
                <w:color w:val="000000"/>
                <w:sz w:val="20"/>
                <w:szCs w:val="20"/>
              </w:rPr>
              <w:t>ce which do</w:t>
            </w:r>
            <w:r w:rsidR="003B2855">
              <w:rPr>
                <w:rFonts w:eastAsia="Times New Roman" w:cs="Times New Roman"/>
                <w:color w:val="000000"/>
                <w:sz w:val="20"/>
                <w:szCs w:val="20"/>
              </w:rPr>
              <w:t>es</w:t>
            </w:r>
            <w:r w:rsidR="00032CAB">
              <w:rPr>
                <w:rFonts w:eastAsia="Times New Roman" w:cs="Times New Roman"/>
                <w:color w:val="000000"/>
                <w:sz w:val="20"/>
                <w:szCs w:val="20"/>
              </w:rPr>
              <w:t xml:space="preserve"> not fall into the previously defined service categories. </w:t>
            </w:r>
            <w:r>
              <w:rPr>
                <w:rFonts w:eastAsia="Times New Roman" w:cs="Times New Roman"/>
                <w:color w:val="000000"/>
                <w:sz w:val="20"/>
                <w:szCs w:val="20"/>
              </w:rPr>
              <w:t xml:space="preserve"> </w:t>
            </w:r>
          </w:p>
        </w:tc>
      </w:tr>
      <w:tr w:rsidR="00A30ED0" w:rsidRPr="00F817A4" w:rsidTr="002D5F6B">
        <w:trPr>
          <w:trHeight w:hRule="exact" w:val="4224"/>
        </w:trPr>
        <w:tc>
          <w:tcPr>
            <w:tcW w:w="3438" w:type="dxa"/>
            <w:shd w:val="clear" w:color="auto" w:fill="auto"/>
            <w:noWrap/>
          </w:tcPr>
          <w:p w:rsidR="00A30ED0" w:rsidRDefault="00A30ED0" w:rsidP="00A30ED0">
            <w:pPr>
              <w:rPr>
                <w:rFonts w:ascii="Calibri" w:hAnsi="Calibri"/>
                <w:color w:val="000000"/>
              </w:rPr>
            </w:pPr>
            <w:r w:rsidRPr="00A30ED0">
              <w:rPr>
                <w:rFonts w:ascii="Calibri" w:hAnsi="Calibri"/>
                <w:color w:val="000000"/>
              </w:rPr>
              <w:t>NSIP qualified meal - Home-Delivered</w:t>
            </w:r>
          </w:p>
        </w:tc>
        <w:tc>
          <w:tcPr>
            <w:tcW w:w="6840" w:type="dxa"/>
            <w:shd w:val="clear" w:color="auto" w:fill="auto"/>
            <w:noWrap/>
          </w:tcPr>
          <w:p w:rsidR="0086749B" w:rsidRDefault="0086749B" w:rsidP="00A30ED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Meal count used to determine a states allotment under the OAA Title III, Part A (Section 311)</w:t>
            </w:r>
            <w:r w:rsidR="00416597">
              <w:rPr>
                <w:rFonts w:ascii="Calibri" w:eastAsia="Times New Roman" w:hAnsi="Calibri" w:cs="Times New Roman"/>
                <w:color w:val="000000"/>
                <w:sz w:val="20"/>
                <w:szCs w:val="20"/>
              </w:rPr>
              <w:t>.</w:t>
            </w:r>
          </w:p>
          <w:p w:rsidR="00416597" w:rsidRDefault="00416597" w:rsidP="00A30ED0">
            <w:pPr>
              <w:spacing w:after="0" w:line="240" w:lineRule="auto"/>
              <w:rPr>
                <w:rFonts w:ascii="Calibri" w:eastAsia="Times New Roman" w:hAnsi="Calibri" w:cs="Times New Roman"/>
                <w:color w:val="000000"/>
                <w:sz w:val="20"/>
                <w:szCs w:val="20"/>
              </w:rPr>
            </w:pPr>
          </w:p>
          <w:p w:rsidR="00032CAB" w:rsidRDefault="00032CAB" w:rsidP="00A30ED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A meal provided to a qualified individual in his/her place of residence through a program that meets all of the criteria for payment using OAA funds (see OAA </w:t>
            </w:r>
            <w:r w:rsidR="0086749B">
              <w:rPr>
                <w:rFonts w:ascii="Calibri" w:eastAsia="Times New Roman" w:hAnsi="Calibri" w:cs="Times New Roman"/>
                <w:color w:val="000000"/>
                <w:sz w:val="20"/>
                <w:szCs w:val="20"/>
              </w:rPr>
              <w:t>Title III-C)</w:t>
            </w:r>
            <w:r w:rsidR="00416597">
              <w:rPr>
                <w:rFonts w:ascii="Calibri" w:eastAsia="Times New Roman" w:hAnsi="Calibri" w:cs="Times New Roman"/>
                <w:color w:val="000000"/>
                <w:sz w:val="20"/>
                <w:szCs w:val="20"/>
              </w:rPr>
              <w:t>:</w:t>
            </w:r>
          </w:p>
          <w:p w:rsidR="00416597" w:rsidRPr="00416597" w:rsidRDefault="00416597" w:rsidP="00416597">
            <w:pPr>
              <w:pStyle w:val="ListParagraph"/>
              <w:numPr>
                <w:ilvl w:val="0"/>
                <w:numId w:val="9"/>
              </w:numPr>
              <w:spacing w:after="0" w:line="240" w:lineRule="auto"/>
              <w:ind w:left="342" w:hanging="342"/>
              <w:rPr>
                <w:rFonts w:eastAsia="Times New Roman" w:cs="Times New Roman"/>
                <w:color w:val="000000"/>
                <w:sz w:val="20"/>
                <w:szCs w:val="20"/>
              </w:rPr>
            </w:pPr>
            <w:r w:rsidRPr="00416597">
              <w:rPr>
                <w:rFonts w:eastAsia="Times New Roman" w:cs="Times New Roman"/>
                <w:color w:val="000000"/>
                <w:sz w:val="20"/>
                <w:szCs w:val="20"/>
              </w:rPr>
              <w:t>Served to an eligible individual, i.e. a person who is qualified to receive services under the OAA as defined in Title III; and</w:t>
            </w:r>
          </w:p>
          <w:p w:rsidR="00416597" w:rsidRPr="00416597" w:rsidRDefault="00416597" w:rsidP="00416597">
            <w:pPr>
              <w:pStyle w:val="ListParagraph"/>
              <w:numPr>
                <w:ilvl w:val="0"/>
                <w:numId w:val="9"/>
              </w:numPr>
              <w:spacing w:after="0" w:line="240" w:lineRule="auto"/>
              <w:ind w:left="342" w:hanging="342"/>
              <w:rPr>
                <w:rFonts w:eastAsia="Times New Roman" w:cs="Times New Roman"/>
                <w:color w:val="000000"/>
                <w:sz w:val="20"/>
                <w:szCs w:val="20"/>
              </w:rPr>
            </w:pPr>
            <w:r w:rsidRPr="00416597">
              <w:rPr>
                <w:rFonts w:eastAsia="Times New Roman" w:cs="Times New Roman"/>
                <w:color w:val="000000"/>
                <w:sz w:val="20"/>
                <w:szCs w:val="20"/>
              </w:rPr>
              <w:t>Served to an eligible person who has NOT been means-tested for participation; and</w:t>
            </w:r>
          </w:p>
          <w:p w:rsidR="00416597" w:rsidRPr="00416597" w:rsidRDefault="00416597" w:rsidP="00416597">
            <w:pPr>
              <w:pStyle w:val="ListParagraph"/>
              <w:numPr>
                <w:ilvl w:val="0"/>
                <w:numId w:val="9"/>
              </w:numPr>
              <w:spacing w:after="0" w:line="240" w:lineRule="auto"/>
              <w:ind w:left="342" w:hanging="342"/>
              <w:rPr>
                <w:rFonts w:eastAsia="Times New Roman" w:cs="Times New Roman"/>
                <w:color w:val="000000"/>
                <w:sz w:val="20"/>
                <w:szCs w:val="20"/>
              </w:rPr>
            </w:pPr>
            <w:r w:rsidRPr="00416597">
              <w:rPr>
                <w:rFonts w:eastAsia="Times New Roman" w:cs="Times New Roman"/>
                <w:color w:val="000000"/>
                <w:sz w:val="20"/>
                <w:szCs w:val="20"/>
              </w:rPr>
              <w:t>Compliant with the nutrition requirements; and</w:t>
            </w:r>
          </w:p>
          <w:p w:rsidR="00416597" w:rsidRPr="00416597" w:rsidRDefault="00416597" w:rsidP="00416597">
            <w:pPr>
              <w:pStyle w:val="ListParagraph"/>
              <w:numPr>
                <w:ilvl w:val="0"/>
                <w:numId w:val="9"/>
              </w:numPr>
              <w:spacing w:after="0" w:line="240" w:lineRule="auto"/>
              <w:ind w:left="342" w:hanging="342"/>
              <w:rPr>
                <w:rFonts w:eastAsia="Times New Roman" w:cs="Times New Roman"/>
                <w:color w:val="000000"/>
                <w:sz w:val="20"/>
                <w:szCs w:val="20"/>
              </w:rPr>
            </w:pPr>
            <w:r w:rsidRPr="00416597">
              <w:rPr>
                <w:rFonts w:eastAsia="Times New Roman" w:cs="Times New Roman"/>
                <w:color w:val="000000"/>
                <w:sz w:val="20"/>
                <w:szCs w:val="20"/>
              </w:rPr>
              <w:t>Served by an eligible agency, i.e. has a grant or contract with a SUA or AAA; and</w:t>
            </w:r>
          </w:p>
          <w:p w:rsidR="00A30ED0" w:rsidRDefault="00416597" w:rsidP="00416597">
            <w:pPr>
              <w:pStyle w:val="ListParagraph"/>
              <w:numPr>
                <w:ilvl w:val="0"/>
                <w:numId w:val="9"/>
              </w:numPr>
              <w:spacing w:after="0" w:line="240" w:lineRule="auto"/>
              <w:ind w:left="342" w:hanging="342"/>
              <w:rPr>
                <w:rFonts w:eastAsia="Times New Roman" w:cs="Times New Roman"/>
                <w:color w:val="000000"/>
                <w:sz w:val="20"/>
                <w:szCs w:val="20"/>
              </w:rPr>
            </w:pPr>
            <w:r w:rsidRPr="00416597">
              <w:rPr>
                <w:rFonts w:eastAsia="Times New Roman" w:cs="Times New Roman"/>
                <w:color w:val="000000"/>
                <w:sz w:val="20"/>
                <w:szCs w:val="20"/>
              </w:rPr>
              <w:t>Served to a person who has an opportunity to contribute toward the cost of the meal.</w:t>
            </w:r>
          </w:p>
          <w:p w:rsidR="00416597" w:rsidRPr="00416597" w:rsidRDefault="00416597" w:rsidP="00416597">
            <w:pPr>
              <w:pStyle w:val="ListParagraph"/>
              <w:spacing w:after="0" w:line="240" w:lineRule="auto"/>
              <w:ind w:left="0"/>
              <w:rPr>
                <w:rFonts w:eastAsia="Times New Roman" w:cs="Times New Roman"/>
                <w:color w:val="000000"/>
                <w:sz w:val="20"/>
                <w:szCs w:val="20"/>
              </w:rPr>
            </w:pPr>
            <w:r>
              <w:rPr>
                <w:rFonts w:eastAsia="Times New Roman" w:cs="Times New Roman"/>
                <w:color w:val="000000"/>
                <w:sz w:val="20"/>
                <w:szCs w:val="20"/>
              </w:rPr>
              <w:t>Meals served under Title III-E supplemental services may be included if all the above criteria are met.</w:t>
            </w:r>
          </w:p>
        </w:tc>
      </w:tr>
      <w:tr w:rsidR="00A30ED0" w:rsidRPr="00F817A4" w:rsidTr="002D5F6B">
        <w:trPr>
          <w:trHeight w:hRule="exact" w:val="4323"/>
        </w:trPr>
        <w:tc>
          <w:tcPr>
            <w:tcW w:w="3438" w:type="dxa"/>
            <w:shd w:val="clear" w:color="auto" w:fill="auto"/>
            <w:noWrap/>
          </w:tcPr>
          <w:p w:rsidR="00A30ED0" w:rsidRDefault="00A30ED0" w:rsidP="00A30ED0">
            <w:pPr>
              <w:rPr>
                <w:rFonts w:ascii="Calibri" w:hAnsi="Calibri"/>
                <w:color w:val="000000"/>
              </w:rPr>
            </w:pPr>
            <w:r w:rsidRPr="00A30ED0">
              <w:rPr>
                <w:rFonts w:ascii="Calibri" w:hAnsi="Calibri"/>
                <w:color w:val="000000"/>
              </w:rPr>
              <w:t>NSIP qualified meal - Congregate</w:t>
            </w:r>
          </w:p>
        </w:tc>
        <w:tc>
          <w:tcPr>
            <w:tcW w:w="6840" w:type="dxa"/>
            <w:shd w:val="clear" w:color="auto" w:fill="auto"/>
            <w:noWrap/>
          </w:tcPr>
          <w:p w:rsidR="00416597" w:rsidRDefault="00416597" w:rsidP="0041659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Meal count used to determine a states allotment under the OAA Title III, Part A (Section 311).</w:t>
            </w:r>
          </w:p>
          <w:p w:rsidR="00416597" w:rsidRDefault="00416597" w:rsidP="00416597">
            <w:pPr>
              <w:spacing w:after="0" w:line="240" w:lineRule="auto"/>
              <w:rPr>
                <w:rFonts w:ascii="Calibri" w:eastAsia="Times New Roman" w:hAnsi="Calibri" w:cs="Times New Roman"/>
                <w:color w:val="000000"/>
                <w:sz w:val="20"/>
                <w:szCs w:val="20"/>
              </w:rPr>
            </w:pPr>
          </w:p>
          <w:p w:rsidR="00416597" w:rsidRDefault="00416597" w:rsidP="0041659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 meal provided to a qualified individual in a congregate or group setting.  through a program that meets all of the criteria for payment using OAA funds (see OAA Title III-C):</w:t>
            </w:r>
          </w:p>
          <w:p w:rsidR="00416597" w:rsidRPr="00416597" w:rsidRDefault="00416597" w:rsidP="00416597">
            <w:pPr>
              <w:pStyle w:val="ListParagraph"/>
              <w:numPr>
                <w:ilvl w:val="0"/>
                <w:numId w:val="9"/>
              </w:numPr>
              <w:spacing w:after="0" w:line="240" w:lineRule="auto"/>
              <w:ind w:left="342" w:hanging="342"/>
              <w:rPr>
                <w:rFonts w:eastAsia="Times New Roman" w:cs="Times New Roman"/>
                <w:color w:val="000000"/>
                <w:sz w:val="20"/>
                <w:szCs w:val="20"/>
              </w:rPr>
            </w:pPr>
            <w:r w:rsidRPr="00416597">
              <w:rPr>
                <w:rFonts w:eastAsia="Times New Roman" w:cs="Times New Roman"/>
                <w:color w:val="000000"/>
                <w:sz w:val="20"/>
                <w:szCs w:val="20"/>
              </w:rPr>
              <w:t>Served to an eligible individual, i.e. a person who is qualified to receive services under the OAA as defined in Title III; and</w:t>
            </w:r>
          </w:p>
          <w:p w:rsidR="00416597" w:rsidRPr="00416597" w:rsidRDefault="00416597" w:rsidP="00416597">
            <w:pPr>
              <w:pStyle w:val="ListParagraph"/>
              <w:numPr>
                <w:ilvl w:val="0"/>
                <w:numId w:val="9"/>
              </w:numPr>
              <w:spacing w:after="0" w:line="240" w:lineRule="auto"/>
              <w:ind w:left="342" w:hanging="342"/>
              <w:rPr>
                <w:rFonts w:eastAsia="Times New Roman" w:cs="Times New Roman"/>
                <w:color w:val="000000"/>
                <w:sz w:val="20"/>
                <w:szCs w:val="20"/>
              </w:rPr>
            </w:pPr>
            <w:r w:rsidRPr="00416597">
              <w:rPr>
                <w:rFonts w:eastAsia="Times New Roman" w:cs="Times New Roman"/>
                <w:color w:val="000000"/>
                <w:sz w:val="20"/>
                <w:szCs w:val="20"/>
              </w:rPr>
              <w:t>Served to an eligible person who has NOT been means-tested for participation; and</w:t>
            </w:r>
          </w:p>
          <w:p w:rsidR="00416597" w:rsidRPr="00416597" w:rsidRDefault="00416597" w:rsidP="00416597">
            <w:pPr>
              <w:pStyle w:val="ListParagraph"/>
              <w:numPr>
                <w:ilvl w:val="0"/>
                <w:numId w:val="9"/>
              </w:numPr>
              <w:spacing w:after="0" w:line="240" w:lineRule="auto"/>
              <w:ind w:left="342" w:hanging="342"/>
              <w:rPr>
                <w:rFonts w:eastAsia="Times New Roman" w:cs="Times New Roman"/>
                <w:color w:val="000000"/>
                <w:sz w:val="20"/>
                <w:szCs w:val="20"/>
              </w:rPr>
            </w:pPr>
            <w:r w:rsidRPr="00416597">
              <w:rPr>
                <w:rFonts w:eastAsia="Times New Roman" w:cs="Times New Roman"/>
                <w:color w:val="000000"/>
                <w:sz w:val="20"/>
                <w:szCs w:val="20"/>
              </w:rPr>
              <w:t>Compliant with the nutrition requirements; and</w:t>
            </w:r>
          </w:p>
          <w:p w:rsidR="00416597" w:rsidRPr="00416597" w:rsidRDefault="00416597" w:rsidP="00416597">
            <w:pPr>
              <w:pStyle w:val="ListParagraph"/>
              <w:numPr>
                <w:ilvl w:val="0"/>
                <w:numId w:val="9"/>
              </w:numPr>
              <w:spacing w:after="0" w:line="240" w:lineRule="auto"/>
              <w:ind w:left="342" w:hanging="342"/>
              <w:rPr>
                <w:rFonts w:eastAsia="Times New Roman" w:cs="Times New Roman"/>
                <w:color w:val="000000"/>
                <w:sz w:val="20"/>
                <w:szCs w:val="20"/>
              </w:rPr>
            </w:pPr>
            <w:r w:rsidRPr="00416597">
              <w:rPr>
                <w:rFonts w:eastAsia="Times New Roman" w:cs="Times New Roman"/>
                <w:color w:val="000000"/>
                <w:sz w:val="20"/>
                <w:szCs w:val="20"/>
              </w:rPr>
              <w:t>Served by an eligible agency, i.e. has a grant or contract with a SUA or AAA; and</w:t>
            </w:r>
          </w:p>
          <w:p w:rsidR="00416597" w:rsidRDefault="00416597" w:rsidP="00416597">
            <w:pPr>
              <w:pStyle w:val="ListParagraph"/>
              <w:numPr>
                <w:ilvl w:val="0"/>
                <w:numId w:val="9"/>
              </w:numPr>
              <w:spacing w:after="0" w:line="240" w:lineRule="auto"/>
              <w:ind w:left="342" w:hanging="342"/>
              <w:rPr>
                <w:rFonts w:eastAsia="Times New Roman" w:cs="Times New Roman"/>
                <w:color w:val="000000"/>
                <w:sz w:val="20"/>
                <w:szCs w:val="20"/>
              </w:rPr>
            </w:pPr>
            <w:r w:rsidRPr="00416597">
              <w:rPr>
                <w:rFonts w:eastAsia="Times New Roman" w:cs="Times New Roman"/>
                <w:color w:val="000000"/>
                <w:sz w:val="20"/>
                <w:szCs w:val="20"/>
              </w:rPr>
              <w:t>Served to a person who has an opportunity to contribute toward the cost of the meal.</w:t>
            </w:r>
          </w:p>
          <w:p w:rsidR="00A30ED0" w:rsidRPr="001E2345" w:rsidRDefault="00416597" w:rsidP="00416597">
            <w:pPr>
              <w:spacing w:after="0" w:line="240" w:lineRule="auto"/>
              <w:rPr>
                <w:rFonts w:eastAsia="Times New Roman" w:cs="Times New Roman"/>
                <w:color w:val="000000"/>
                <w:sz w:val="20"/>
                <w:szCs w:val="20"/>
              </w:rPr>
            </w:pPr>
            <w:r>
              <w:rPr>
                <w:rFonts w:eastAsia="Times New Roman" w:cs="Times New Roman"/>
                <w:color w:val="000000"/>
                <w:sz w:val="20"/>
                <w:szCs w:val="20"/>
              </w:rPr>
              <w:t>Meals served under Title III-E supplemental services may be included if all the above criteria are met.</w:t>
            </w:r>
          </w:p>
        </w:tc>
      </w:tr>
      <w:tr w:rsidR="00A30ED0" w:rsidRPr="00F817A4" w:rsidTr="002D5F6B">
        <w:trPr>
          <w:trHeight w:hRule="exact" w:val="1137"/>
        </w:trPr>
        <w:tc>
          <w:tcPr>
            <w:tcW w:w="3438" w:type="dxa"/>
            <w:shd w:val="clear" w:color="auto" w:fill="auto"/>
            <w:noWrap/>
          </w:tcPr>
          <w:p w:rsidR="00A30ED0" w:rsidRDefault="00987F18" w:rsidP="00A30ED0">
            <w:pPr>
              <w:rPr>
                <w:rFonts w:ascii="Calibri" w:hAnsi="Calibri"/>
                <w:color w:val="000000"/>
              </w:rPr>
            </w:pPr>
            <w:r w:rsidRPr="006E4A26">
              <w:t>Title VII-4 Total Expenditure</w:t>
            </w:r>
          </w:p>
        </w:tc>
        <w:tc>
          <w:tcPr>
            <w:tcW w:w="6840" w:type="dxa"/>
            <w:shd w:val="clear" w:color="auto" w:fill="auto"/>
            <w:noWrap/>
          </w:tcPr>
          <w:p w:rsidR="00F4299F" w:rsidRPr="001E2345" w:rsidRDefault="00987F18" w:rsidP="00F4299F">
            <w:pPr>
              <w:spacing w:after="0" w:line="240" w:lineRule="auto"/>
              <w:rPr>
                <w:rFonts w:eastAsia="Times New Roman" w:cs="Times New Roman"/>
                <w:color w:val="000000"/>
                <w:sz w:val="20"/>
                <w:szCs w:val="20"/>
              </w:rPr>
            </w:pPr>
            <w:r>
              <w:rPr>
                <w:rFonts w:ascii="Calibri" w:eastAsia="Times New Roman" w:hAnsi="Calibri" w:cs="Times New Roman"/>
                <w:color w:val="000000"/>
                <w:sz w:val="20"/>
                <w:szCs w:val="20"/>
              </w:rPr>
              <w:t xml:space="preserve">Total outlays or </w:t>
            </w:r>
            <w:r w:rsidRPr="001622B1">
              <w:rPr>
                <w:rFonts w:ascii="Calibri" w:eastAsia="Times New Roman" w:hAnsi="Calibri" w:cs="Times New Roman"/>
                <w:color w:val="000000"/>
                <w:sz w:val="20"/>
                <w:szCs w:val="20"/>
              </w:rPr>
              <w:t xml:space="preserve">payments made using </w:t>
            </w:r>
            <w:r>
              <w:rPr>
                <w:rFonts w:ascii="Calibri" w:eastAsia="Times New Roman" w:hAnsi="Calibri" w:cs="Times New Roman"/>
                <w:color w:val="000000"/>
                <w:sz w:val="20"/>
                <w:szCs w:val="20"/>
              </w:rPr>
              <w:t xml:space="preserve">Title VII, Chapter 4 </w:t>
            </w:r>
            <w:r w:rsidRPr="001622B1">
              <w:rPr>
                <w:rFonts w:ascii="Calibri" w:eastAsia="Times New Roman" w:hAnsi="Calibri" w:cs="Times New Roman"/>
                <w:color w:val="000000"/>
                <w:sz w:val="20"/>
                <w:szCs w:val="20"/>
              </w:rPr>
              <w:t>OAA federal funds to</w:t>
            </w:r>
            <w:r>
              <w:rPr>
                <w:rFonts w:eastAsia="Times New Roman" w:cs="Times New Roman"/>
                <w:color w:val="000000"/>
                <w:sz w:val="20"/>
                <w:szCs w:val="20"/>
              </w:rPr>
              <w:t xml:space="preserve"> provide and carry</w:t>
            </w:r>
            <w:r w:rsidRPr="00987F18">
              <w:rPr>
                <w:rFonts w:eastAsia="Times New Roman" w:cs="Times New Roman"/>
                <w:color w:val="000000"/>
                <w:sz w:val="20"/>
                <w:szCs w:val="20"/>
              </w:rPr>
              <w:t xml:space="preserve"> out </w:t>
            </w:r>
            <w:r>
              <w:rPr>
                <w:rFonts w:eastAsia="Times New Roman" w:cs="Times New Roman"/>
                <w:color w:val="000000"/>
                <w:sz w:val="20"/>
                <w:szCs w:val="20"/>
              </w:rPr>
              <w:t>a</w:t>
            </w:r>
            <w:r w:rsidRPr="00987F18">
              <w:rPr>
                <w:rFonts w:eastAsia="Times New Roman" w:cs="Times New Roman"/>
                <w:color w:val="000000"/>
                <w:sz w:val="20"/>
                <w:szCs w:val="20"/>
              </w:rPr>
              <w:t>ctivities by the state “Legal Assistance Developer”</w:t>
            </w:r>
            <w:r>
              <w:rPr>
                <w:rFonts w:eastAsia="Times New Roman" w:cs="Times New Roman"/>
                <w:color w:val="000000"/>
                <w:sz w:val="20"/>
                <w:szCs w:val="20"/>
              </w:rPr>
              <w:t>.  State Legal Assistance Development includes the coordination</w:t>
            </w:r>
            <w:r w:rsidRPr="00987F18">
              <w:rPr>
                <w:rFonts w:eastAsia="Times New Roman" w:cs="Times New Roman"/>
                <w:color w:val="000000"/>
                <w:sz w:val="20"/>
                <w:szCs w:val="20"/>
              </w:rPr>
              <w:t xml:space="preserve"> and enhance</w:t>
            </w:r>
            <w:r>
              <w:rPr>
                <w:rFonts w:eastAsia="Times New Roman" w:cs="Times New Roman"/>
                <w:color w:val="000000"/>
                <w:sz w:val="20"/>
                <w:szCs w:val="20"/>
              </w:rPr>
              <w:t>ment</w:t>
            </w:r>
            <w:r w:rsidRPr="00987F18">
              <w:rPr>
                <w:rFonts w:eastAsia="Times New Roman" w:cs="Times New Roman"/>
                <w:color w:val="000000"/>
                <w:sz w:val="20"/>
                <w:szCs w:val="20"/>
              </w:rPr>
              <w:t xml:space="preserve"> </w:t>
            </w:r>
            <w:r>
              <w:rPr>
                <w:rFonts w:eastAsia="Times New Roman" w:cs="Times New Roman"/>
                <w:color w:val="000000"/>
                <w:sz w:val="20"/>
                <w:szCs w:val="20"/>
              </w:rPr>
              <w:t xml:space="preserve">of </w:t>
            </w:r>
            <w:r w:rsidRPr="00987F18">
              <w:rPr>
                <w:rFonts w:eastAsia="Times New Roman" w:cs="Times New Roman"/>
                <w:color w:val="000000"/>
                <w:sz w:val="20"/>
                <w:szCs w:val="20"/>
              </w:rPr>
              <w:t>state and local legal ser</w:t>
            </w:r>
            <w:r w:rsidR="00F4299F">
              <w:rPr>
                <w:rFonts w:eastAsia="Times New Roman" w:cs="Times New Roman"/>
                <w:color w:val="000000"/>
                <w:sz w:val="20"/>
                <w:szCs w:val="20"/>
              </w:rPr>
              <w:t>vices and elder rights programs. (Source: OAA)</w:t>
            </w:r>
          </w:p>
          <w:p w:rsidR="00987F18" w:rsidRPr="001E2345" w:rsidRDefault="00987F18" w:rsidP="00987F18">
            <w:pPr>
              <w:spacing w:after="0" w:line="240" w:lineRule="auto"/>
              <w:rPr>
                <w:rFonts w:eastAsia="Times New Roman" w:cs="Times New Roman"/>
                <w:color w:val="000000"/>
                <w:sz w:val="20"/>
                <w:szCs w:val="20"/>
              </w:rPr>
            </w:pPr>
          </w:p>
        </w:tc>
      </w:tr>
    </w:tbl>
    <w:p w:rsidR="003C1409" w:rsidRDefault="003C1409"/>
    <w:sectPr w:rsidR="003C1409" w:rsidSect="003D6BCC">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BCC" w:rsidRDefault="003D6BCC" w:rsidP="006B282E">
      <w:pPr>
        <w:spacing w:after="0" w:line="240" w:lineRule="auto"/>
      </w:pPr>
      <w:r>
        <w:separator/>
      </w:r>
    </w:p>
  </w:endnote>
  <w:endnote w:type="continuationSeparator" w:id="0">
    <w:p w:rsidR="003D6BCC" w:rsidRDefault="003D6BCC" w:rsidP="006B2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BCC" w:rsidRDefault="003D6BCC" w:rsidP="006B282E">
      <w:pPr>
        <w:spacing w:after="0" w:line="240" w:lineRule="auto"/>
      </w:pPr>
      <w:r>
        <w:separator/>
      </w:r>
    </w:p>
  </w:footnote>
  <w:footnote w:type="continuationSeparator" w:id="0">
    <w:p w:rsidR="003D6BCC" w:rsidRDefault="003D6BCC" w:rsidP="006B282E">
      <w:pPr>
        <w:spacing w:after="0" w:line="240" w:lineRule="auto"/>
      </w:pPr>
      <w:r>
        <w:continuationSeparator/>
      </w:r>
    </w:p>
  </w:footnote>
  <w:footnote w:id="1">
    <w:p w:rsidR="003D6BCC" w:rsidRDefault="003D6BCC">
      <w:pPr>
        <w:pStyle w:val="FootnoteText"/>
      </w:pPr>
      <w:r>
        <w:rPr>
          <w:rStyle w:val="FootnoteReference"/>
        </w:rPr>
        <w:footnoteRef/>
      </w:r>
      <w:r>
        <w:t xml:space="preserve"> As there is no single definition of household income, if an agency is already required to calculate household income for other federal programs (e.g. SNAP benefits, Medicaid, LIHEAP) please continue to use that definition for SPR purposes.  If an agency has not already defined household income for other federal programs use the income and household definitions associated with the Affordable Care Act (</w:t>
      </w:r>
      <w:hyperlink r:id="rId1" w:history="1">
        <w:r>
          <w:rPr>
            <w:rStyle w:val="Hyperlink"/>
          </w:rPr>
          <w:t>Affordable Care Act income and household definitions</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218F"/>
    <w:multiLevelType w:val="hybridMultilevel"/>
    <w:tmpl w:val="61ECF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33D3171"/>
    <w:multiLevelType w:val="hybridMultilevel"/>
    <w:tmpl w:val="1BAE4FBC"/>
    <w:lvl w:ilvl="0" w:tplc="7BD0630C">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2046617A"/>
    <w:multiLevelType w:val="hybridMultilevel"/>
    <w:tmpl w:val="8EC6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AF4954"/>
    <w:multiLevelType w:val="hybridMultilevel"/>
    <w:tmpl w:val="C94E2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453FE8"/>
    <w:multiLevelType w:val="hybridMultilevel"/>
    <w:tmpl w:val="F6A47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CA24E1"/>
    <w:multiLevelType w:val="hybridMultilevel"/>
    <w:tmpl w:val="F656C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635B27"/>
    <w:multiLevelType w:val="hybridMultilevel"/>
    <w:tmpl w:val="3B64D8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99C2E7F"/>
    <w:multiLevelType w:val="hybridMultilevel"/>
    <w:tmpl w:val="D1CC3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A353B5"/>
    <w:multiLevelType w:val="hybridMultilevel"/>
    <w:tmpl w:val="235E1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BF1413"/>
    <w:multiLevelType w:val="hybridMultilevel"/>
    <w:tmpl w:val="A2424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4"/>
  </w:num>
  <w:num w:numId="6">
    <w:abstractNumId w:val="8"/>
  </w:num>
  <w:num w:numId="7">
    <w:abstractNumId w:val="7"/>
  </w:num>
  <w:num w:numId="8">
    <w:abstractNumId w:val="3"/>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1E1"/>
    <w:rsid w:val="0000558E"/>
    <w:rsid w:val="000146F3"/>
    <w:rsid w:val="0003030E"/>
    <w:rsid w:val="00032CAB"/>
    <w:rsid w:val="00085121"/>
    <w:rsid w:val="00086662"/>
    <w:rsid w:val="000B2350"/>
    <w:rsid w:val="001305B9"/>
    <w:rsid w:val="00152335"/>
    <w:rsid w:val="001622B1"/>
    <w:rsid w:val="00186456"/>
    <w:rsid w:val="00186AF3"/>
    <w:rsid w:val="001A72B4"/>
    <w:rsid w:val="001C133B"/>
    <w:rsid w:val="001E046D"/>
    <w:rsid w:val="001E2345"/>
    <w:rsid w:val="00201F1A"/>
    <w:rsid w:val="00211918"/>
    <w:rsid w:val="00245B76"/>
    <w:rsid w:val="002D5F6B"/>
    <w:rsid w:val="003B2855"/>
    <w:rsid w:val="003C1409"/>
    <w:rsid w:val="003D6BCC"/>
    <w:rsid w:val="00416597"/>
    <w:rsid w:val="00442A3C"/>
    <w:rsid w:val="004B7FB4"/>
    <w:rsid w:val="00540AEC"/>
    <w:rsid w:val="00557F5E"/>
    <w:rsid w:val="00560C31"/>
    <w:rsid w:val="005D6AE8"/>
    <w:rsid w:val="0060651C"/>
    <w:rsid w:val="00642887"/>
    <w:rsid w:val="0066577B"/>
    <w:rsid w:val="006B282E"/>
    <w:rsid w:val="006C177F"/>
    <w:rsid w:val="006C2FDE"/>
    <w:rsid w:val="006D1443"/>
    <w:rsid w:val="006D62F4"/>
    <w:rsid w:val="007602D5"/>
    <w:rsid w:val="007D7356"/>
    <w:rsid w:val="007E799D"/>
    <w:rsid w:val="00800365"/>
    <w:rsid w:val="008162E4"/>
    <w:rsid w:val="0086749B"/>
    <w:rsid w:val="00872138"/>
    <w:rsid w:val="008903F5"/>
    <w:rsid w:val="00894354"/>
    <w:rsid w:val="008A71E1"/>
    <w:rsid w:val="008B133A"/>
    <w:rsid w:val="008B6911"/>
    <w:rsid w:val="008C169F"/>
    <w:rsid w:val="008C79DA"/>
    <w:rsid w:val="00963B1C"/>
    <w:rsid w:val="00967C1F"/>
    <w:rsid w:val="00975AC5"/>
    <w:rsid w:val="00975EC5"/>
    <w:rsid w:val="00987F18"/>
    <w:rsid w:val="009E11AD"/>
    <w:rsid w:val="00A30ED0"/>
    <w:rsid w:val="00A31B50"/>
    <w:rsid w:val="00A364B3"/>
    <w:rsid w:val="00A57DE2"/>
    <w:rsid w:val="00A638E0"/>
    <w:rsid w:val="00A67A28"/>
    <w:rsid w:val="00A90038"/>
    <w:rsid w:val="00A96493"/>
    <w:rsid w:val="00AA53FC"/>
    <w:rsid w:val="00AF6239"/>
    <w:rsid w:val="00B200D6"/>
    <w:rsid w:val="00B22AC5"/>
    <w:rsid w:val="00B70384"/>
    <w:rsid w:val="00B72521"/>
    <w:rsid w:val="00BA2CD6"/>
    <w:rsid w:val="00BA59EA"/>
    <w:rsid w:val="00BC4AB9"/>
    <w:rsid w:val="00C73E75"/>
    <w:rsid w:val="00CA679A"/>
    <w:rsid w:val="00CC3926"/>
    <w:rsid w:val="00CC5964"/>
    <w:rsid w:val="00D1142E"/>
    <w:rsid w:val="00D12941"/>
    <w:rsid w:val="00D523D1"/>
    <w:rsid w:val="00DB3E59"/>
    <w:rsid w:val="00E4432D"/>
    <w:rsid w:val="00E70A66"/>
    <w:rsid w:val="00E854C0"/>
    <w:rsid w:val="00E93F36"/>
    <w:rsid w:val="00EA4D50"/>
    <w:rsid w:val="00EB2B53"/>
    <w:rsid w:val="00EC08FF"/>
    <w:rsid w:val="00EE5508"/>
    <w:rsid w:val="00F12A87"/>
    <w:rsid w:val="00F4299F"/>
    <w:rsid w:val="00F42C00"/>
    <w:rsid w:val="00F817A4"/>
    <w:rsid w:val="00F81D58"/>
    <w:rsid w:val="00F842EF"/>
    <w:rsid w:val="00F84DBB"/>
    <w:rsid w:val="00F9549F"/>
    <w:rsid w:val="00FA3AF7"/>
    <w:rsid w:val="00FE2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B28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282E"/>
    <w:rPr>
      <w:sz w:val="20"/>
      <w:szCs w:val="20"/>
    </w:rPr>
  </w:style>
  <w:style w:type="character" w:styleId="FootnoteReference">
    <w:name w:val="footnote reference"/>
    <w:basedOn w:val="DefaultParagraphFont"/>
    <w:uiPriority w:val="99"/>
    <w:semiHidden/>
    <w:unhideWhenUsed/>
    <w:rsid w:val="006B282E"/>
    <w:rPr>
      <w:vertAlign w:val="superscript"/>
    </w:rPr>
  </w:style>
  <w:style w:type="character" w:styleId="Hyperlink">
    <w:name w:val="Hyperlink"/>
    <w:basedOn w:val="DefaultParagraphFont"/>
    <w:uiPriority w:val="99"/>
    <w:unhideWhenUsed/>
    <w:rsid w:val="00975EC5"/>
    <w:rPr>
      <w:color w:val="0000FF" w:themeColor="hyperlink"/>
      <w:u w:val="single"/>
    </w:rPr>
  </w:style>
  <w:style w:type="paragraph" w:styleId="ListParagraph">
    <w:name w:val="List Paragraph"/>
    <w:basedOn w:val="Normal"/>
    <w:uiPriority w:val="34"/>
    <w:qFormat/>
    <w:rsid w:val="001305B9"/>
    <w:pPr>
      <w:ind w:left="720"/>
      <w:contextualSpacing/>
    </w:pPr>
  </w:style>
  <w:style w:type="paragraph" w:customStyle="1" w:styleId="DataElementTableBody">
    <w:name w:val="Data Element Table Body"/>
    <w:basedOn w:val="Normal"/>
    <w:link w:val="DataElementTableBodyChar"/>
    <w:qFormat/>
    <w:rsid w:val="00A30ED0"/>
    <w:pPr>
      <w:spacing w:after="0" w:line="240" w:lineRule="auto"/>
    </w:pPr>
    <w:rPr>
      <w:rFonts w:eastAsia="Times New Roman" w:cs="Times New Roman"/>
      <w:color w:val="000000"/>
    </w:rPr>
  </w:style>
  <w:style w:type="character" w:customStyle="1" w:styleId="DataElementTableBodyChar">
    <w:name w:val="Data Element Table Body Char"/>
    <w:basedOn w:val="DefaultParagraphFont"/>
    <w:link w:val="DataElementTableBody"/>
    <w:rsid w:val="00A30ED0"/>
    <w:rPr>
      <w:rFonts w:eastAsia="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B28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282E"/>
    <w:rPr>
      <w:sz w:val="20"/>
      <w:szCs w:val="20"/>
    </w:rPr>
  </w:style>
  <w:style w:type="character" w:styleId="FootnoteReference">
    <w:name w:val="footnote reference"/>
    <w:basedOn w:val="DefaultParagraphFont"/>
    <w:uiPriority w:val="99"/>
    <w:semiHidden/>
    <w:unhideWhenUsed/>
    <w:rsid w:val="006B282E"/>
    <w:rPr>
      <w:vertAlign w:val="superscript"/>
    </w:rPr>
  </w:style>
  <w:style w:type="character" w:styleId="Hyperlink">
    <w:name w:val="Hyperlink"/>
    <w:basedOn w:val="DefaultParagraphFont"/>
    <w:uiPriority w:val="99"/>
    <w:unhideWhenUsed/>
    <w:rsid w:val="00975EC5"/>
    <w:rPr>
      <w:color w:val="0000FF" w:themeColor="hyperlink"/>
      <w:u w:val="single"/>
    </w:rPr>
  </w:style>
  <w:style w:type="paragraph" w:styleId="ListParagraph">
    <w:name w:val="List Paragraph"/>
    <w:basedOn w:val="Normal"/>
    <w:uiPriority w:val="34"/>
    <w:qFormat/>
    <w:rsid w:val="001305B9"/>
    <w:pPr>
      <w:ind w:left="720"/>
      <w:contextualSpacing/>
    </w:pPr>
  </w:style>
  <w:style w:type="paragraph" w:customStyle="1" w:styleId="DataElementTableBody">
    <w:name w:val="Data Element Table Body"/>
    <w:basedOn w:val="Normal"/>
    <w:link w:val="DataElementTableBodyChar"/>
    <w:qFormat/>
    <w:rsid w:val="00A30ED0"/>
    <w:pPr>
      <w:spacing w:after="0" w:line="240" w:lineRule="auto"/>
    </w:pPr>
    <w:rPr>
      <w:rFonts w:eastAsia="Times New Roman" w:cs="Times New Roman"/>
      <w:color w:val="000000"/>
    </w:rPr>
  </w:style>
  <w:style w:type="character" w:customStyle="1" w:styleId="DataElementTableBodyChar">
    <w:name w:val="Data Element Table Body Char"/>
    <w:basedOn w:val="DefaultParagraphFont"/>
    <w:link w:val="DataElementTableBody"/>
    <w:rsid w:val="00A30ED0"/>
    <w:rPr>
      <w:rFonts w:eastAsia="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690655">
      <w:bodyDiv w:val="1"/>
      <w:marLeft w:val="0"/>
      <w:marRight w:val="0"/>
      <w:marTop w:val="0"/>
      <w:marBottom w:val="0"/>
      <w:divBdr>
        <w:top w:val="none" w:sz="0" w:space="0" w:color="auto"/>
        <w:left w:val="none" w:sz="0" w:space="0" w:color="auto"/>
        <w:bottom w:val="none" w:sz="0" w:space="0" w:color="auto"/>
        <w:right w:val="none" w:sz="0" w:space="0" w:color="auto"/>
      </w:divBdr>
      <w:divsChild>
        <w:div w:id="1536429272">
          <w:marLeft w:val="806"/>
          <w:marRight w:val="0"/>
          <w:marTop w:val="115"/>
          <w:marBottom w:val="0"/>
          <w:divBdr>
            <w:top w:val="none" w:sz="0" w:space="0" w:color="auto"/>
            <w:left w:val="none" w:sz="0" w:space="0" w:color="auto"/>
            <w:bottom w:val="none" w:sz="0" w:space="0" w:color="auto"/>
            <w:right w:val="none" w:sz="0" w:space="0" w:color="auto"/>
          </w:divBdr>
        </w:div>
        <w:div w:id="1238318233">
          <w:marLeft w:val="806"/>
          <w:marRight w:val="0"/>
          <w:marTop w:val="115"/>
          <w:marBottom w:val="0"/>
          <w:divBdr>
            <w:top w:val="none" w:sz="0" w:space="0" w:color="auto"/>
            <w:left w:val="none" w:sz="0" w:space="0" w:color="auto"/>
            <w:bottom w:val="none" w:sz="0" w:space="0" w:color="auto"/>
            <w:right w:val="none" w:sz="0" w:space="0" w:color="auto"/>
          </w:divBdr>
        </w:div>
        <w:div w:id="1436513896">
          <w:marLeft w:val="806"/>
          <w:marRight w:val="0"/>
          <w:marTop w:val="115"/>
          <w:marBottom w:val="0"/>
          <w:divBdr>
            <w:top w:val="none" w:sz="0" w:space="0" w:color="auto"/>
            <w:left w:val="none" w:sz="0" w:space="0" w:color="auto"/>
            <w:bottom w:val="none" w:sz="0" w:space="0" w:color="auto"/>
            <w:right w:val="none" w:sz="0" w:space="0" w:color="auto"/>
          </w:divBdr>
        </w:div>
        <w:div w:id="1557621012">
          <w:marLeft w:val="806"/>
          <w:marRight w:val="0"/>
          <w:marTop w:val="115"/>
          <w:marBottom w:val="0"/>
          <w:divBdr>
            <w:top w:val="none" w:sz="0" w:space="0" w:color="auto"/>
            <w:left w:val="none" w:sz="0" w:space="0" w:color="auto"/>
            <w:bottom w:val="none" w:sz="0" w:space="0" w:color="auto"/>
            <w:right w:val="none" w:sz="0" w:space="0" w:color="auto"/>
          </w:divBdr>
        </w:div>
        <w:div w:id="1130591434">
          <w:marLeft w:val="806"/>
          <w:marRight w:val="0"/>
          <w:marTop w:val="115"/>
          <w:marBottom w:val="0"/>
          <w:divBdr>
            <w:top w:val="none" w:sz="0" w:space="0" w:color="auto"/>
            <w:left w:val="none" w:sz="0" w:space="0" w:color="auto"/>
            <w:bottom w:val="none" w:sz="0" w:space="0" w:color="auto"/>
            <w:right w:val="none" w:sz="0" w:space="0" w:color="auto"/>
          </w:divBdr>
        </w:div>
      </w:divsChild>
    </w:div>
    <w:div w:id="868569669">
      <w:bodyDiv w:val="1"/>
      <w:marLeft w:val="0"/>
      <w:marRight w:val="0"/>
      <w:marTop w:val="0"/>
      <w:marBottom w:val="0"/>
      <w:divBdr>
        <w:top w:val="none" w:sz="0" w:space="0" w:color="auto"/>
        <w:left w:val="none" w:sz="0" w:space="0" w:color="auto"/>
        <w:bottom w:val="none" w:sz="0" w:space="0" w:color="auto"/>
        <w:right w:val="none" w:sz="0" w:space="0" w:color="auto"/>
      </w:divBdr>
    </w:div>
    <w:div w:id="1554921218">
      <w:bodyDiv w:val="1"/>
      <w:marLeft w:val="0"/>
      <w:marRight w:val="0"/>
      <w:marTop w:val="0"/>
      <w:marBottom w:val="0"/>
      <w:divBdr>
        <w:top w:val="none" w:sz="0" w:space="0" w:color="auto"/>
        <w:left w:val="none" w:sz="0" w:space="0" w:color="auto"/>
        <w:bottom w:val="none" w:sz="0" w:space="0" w:color="auto"/>
        <w:right w:val="none" w:sz="0" w:space="0" w:color="auto"/>
      </w:divBdr>
    </w:div>
    <w:div w:id="1607687311">
      <w:bodyDiv w:val="1"/>
      <w:marLeft w:val="0"/>
      <w:marRight w:val="0"/>
      <w:marTop w:val="0"/>
      <w:marBottom w:val="0"/>
      <w:divBdr>
        <w:top w:val="none" w:sz="0" w:space="0" w:color="auto"/>
        <w:left w:val="none" w:sz="0" w:space="0" w:color="auto"/>
        <w:bottom w:val="none" w:sz="0" w:space="0" w:color="auto"/>
        <w:right w:val="none" w:sz="0" w:space="0" w:color="auto"/>
      </w:divBdr>
    </w:div>
    <w:div w:id="1880506898">
      <w:bodyDiv w:val="1"/>
      <w:marLeft w:val="0"/>
      <w:marRight w:val="0"/>
      <w:marTop w:val="0"/>
      <w:marBottom w:val="0"/>
      <w:divBdr>
        <w:top w:val="none" w:sz="0" w:space="0" w:color="auto"/>
        <w:left w:val="none" w:sz="0" w:space="0" w:color="auto"/>
        <w:bottom w:val="none" w:sz="0" w:space="0" w:color="auto"/>
        <w:right w:val="none" w:sz="0" w:space="0" w:color="auto"/>
      </w:divBdr>
    </w:div>
    <w:div w:id="189839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acl.gov/" TargetMode="External"/><Relationship Id="rId4" Type="http://schemas.microsoft.com/office/2007/relationships/stylesWithEffects" Target="stylesWithEffects.xml"/><Relationship Id="rId9" Type="http://schemas.openxmlformats.org/officeDocument/2006/relationships/hyperlink" Target="http://www.acl.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ealthcare.gov/income-and-household-information/household-siz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3983F-E4FF-4FDF-B350-9154459CB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5913</Words>
  <Characters>33706</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39540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2017-06-08T13:00:00Z</dcterms:created>
  <dcterms:modified xsi:type="dcterms:W3CDTF">2017-06-08T13:00:00Z</dcterms:modified>
</cp:coreProperties>
</file>